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9848" w14:textId="77777777" w:rsidR="009C765A" w:rsidRDefault="009C765A" w:rsidP="009C765A">
      <w:pPr>
        <w:rPr>
          <w:b/>
        </w:rPr>
      </w:pPr>
    </w:p>
    <w:p w14:paraId="276C7617" w14:textId="77777777" w:rsidR="009C765A" w:rsidRPr="00873911" w:rsidRDefault="009C765A" w:rsidP="009C765A">
      <w:pPr>
        <w:rPr>
          <w:rFonts w:cs="Arial"/>
        </w:rPr>
      </w:pPr>
    </w:p>
    <w:p w14:paraId="69FF2F52" w14:textId="77777777" w:rsidR="009C765A" w:rsidRPr="00873911" w:rsidRDefault="009C765A" w:rsidP="009C765A">
      <w:pPr>
        <w:rPr>
          <w:rFonts w:cs="Arial"/>
        </w:rPr>
      </w:pPr>
    </w:p>
    <w:p w14:paraId="1560F721" w14:textId="77777777" w:rsidR="009C765A" w:rsidRPr="00873911" w:rsidRDefault="009C765A" w:rsidP="009C765A">
      <w:pPr>
        <w:rPr>
          <w:rFonts w:cs="Arial"/>
        </w:rPr>
      </w:pPr>
    </w:p>
    <w:p w14:paraId="43F557FF" w14:textId="77777777" w:rsidR="009C765A" w:rsidRPr="00873911" w:rsidRDefault="009C765A" w:rsidP="009C765A">
      <w:pPr>
        <w:rPr>
          <w:rFonts w:cs="Arial"/>
        </w:rPr>
      </w:pPr>
    </w:p>
    <w:p w14:paraId="363DB584" w14:textId="77777777" w:rsidR="009C765A" w:rsidRPr="00873911" w:rsidRDefault="009C765A" w:rsidP="009C765A">
      <w:pPr>
        <w:rPr>
          <w:rFonts w:cs="Arial"/>
        </w:rPr>
      </w:pPr>
    </w:p>
    <w:tbl>
      <w:tblPr>
        <w:tblW w:w="9242" w:type="dxa"/>
        <w:tblInd w:w="-45" w:type="dxa"/>
        <w:tblBorders>
          <w:top w:val="thinThickSmallGap" w:sz="24" w:space="0" w:color="ED7D31"/>
          <w:left w:val="thinThickSmallGap" w:sz="24" w:space="0" w:color="ED7D31"/>
          <w:bottom w:val="thickThinSmallGap" w:sz="24" w:space="0" w:color="ED7D31"/>
          <w:right w:val="thickThinSmallGap" w:sz="24" w:space="0" w:color="ED7D31"/>
          <w:insideH w:val="single" w:sz="6" w:space="0" w:color="ED7D31"/>
          <w:insideV w:val="single" w:sz="6" w:space="0" w:color="ED7D31"/>
        </w:tblBorders>
        <w:tblLook w:val="04A0" w:firstRow="1" w:lastRow="0" w:firstColumn="1" w:lastColumn="0" w:noHBand="0" w:noVBand="1"/>
      </w:tblPr>
      <w:tblGrid>
        <w:gridCol w:w="9242"/>
      </w:tblGrid>
      <w:tr w:rsidR="009C765A" w:rsidRPr="0021756F" w14:paraId="4D1EFEB1" w14:textId="77777777" w:rsidTr="00C919E1">
        <w:trPr>
          <w:trHeight w:val="1683"/>
        </w:trPr>
        <w:tc>
          <w:tcPr>
            <w:tcW w:w="9242" w:type="dxa"/>
            <w:shd w:val="clear" w:color="auto" w:fill="auto"/>
          </w:tcPr>
          <w:p w14:paraId="786967A9" w14:textId="77777777" w:rsidR="009C765A" w:rsidRPr="00050831" w:rsidRDefault="009C765A" w:rsidP="00050831">
            <w:pPr>
              <w:pStyle w:val="Heading1"/>
              <w:spacing w:before="0" w:after="0" w:line="240" w:lineRule="auto"/>
              <w:jc w:val="center"/>
              <w:rPr>
                <w:b w:val="0"/>
                <w:bCs w:val="0"/>
                <w:sz w:val="48"/>
                <w:szCs w:val="48"/>
              </w:rPr>
            </w:pPr>
          </w:p>
          <w:p w14:paraId="7EBAAF02" w14:textId="141F3A4F" w:rsidR="009C765A" w:rsidRPr="00D53E95" w:rsidRDefault="00A121A0" w:rsidP="004072B8">
            <w:pPr>
              <w:jc w:val="center"/>
              <w:rPr>
                <w:b/>
                <w:bCs/>
                <w:sz w:val="48"/>
                <w:szCs w:val="48"/>
              </w:rPr>
            </w:pPr>
            <w:r>
              <w:rPr>
                <w:b/>
                <w:bCs/>
                <w:sz w:val="48"/>
                <w:szCs w:val="48"/>
              </w:rPr>
              <w:t xml:space="preserve">PARTNERSHIP </w:t>
            </w:r>
            <w:r w:rsidR="009C765A" w:rsidRPr="00D53E95">
              <w:rPr>
                <w:b/>
                <w:bCs/>
                <w:sz w:val="48"/>
                <w:szCs w:val="48"/>
              </w:rPr>
              <w:t>TEACH-OUT PROCESS</w:t>
            </w:r>
          </w:p>
          <w:p w14:paraId="5AD8E03A" w14:textId="77777777" w:rsidR="009C765A" w:rsidRPr="00413115" w:rsidRDefault="009C765A" w:rsidP="009C765A">
            <w:pPr>
              <w:jc w:val="center"/>
              <w:rPr>
                <w:rFonts w:cs="Arial"/>
                <w:b/>
                <w:bCs/>
                <w:sz w:val="48"/>
                <w:szCs w:val="48"/>
              </w:rPr>
            </w:pPr>
          </w:p>
        </w:tc>
      </w:tr>
    </w:tbl>
    <w:p w14:paraId="391D9C2D" w14:textId="77777777" w:rsidR="009C765A" w:rsidRPr="00873911" w:rsidRDefault="009C765A" w:rsidP="009C765A">
      <w:pPr>
        <w:rPr>
          <w:rFonts w:cs="Arial"/>
        </w:rPr>
      </w:pPr>
    </w:p>
    <w:p w14:paraId="3FFD35F3" w14:textId="77777777" w:rsidR="009C765A" w:rsidRPr="00873911" w:rsidRDefault="009C765A" w:rsidP="009C765A">
      <w:pPr>
        <w:rPr>
          <w:rFonts w:cs="Arial"/>
        </w:rPr>
      </w:pPr>
    </w:p>
    <w:p w14:paraId="700B8FAE" w14:textId="77777777" w:rsidR="009C765A" w:rsidRPr="00873911" w:rsidRDefault="009C765A" w:rsidP="009C765A">
      <w:pPr>
        <w:rPr>
          <w:rFonts w:cs="Arial"/>
        </w:rPr>
      </w:pPr>
    </w:p>
    <w:p w14:paraId="0693EF57" w14:textId="77777777" w:rsidR="009C765A" w:rsidRPr="00873911" w:rsidRDefault="009C765A" w:rsidP="009C765A">
      <w:pPr>
        <w:rPr>
          <w:rFonts w:cs="Arial"/>
        </w:rPr>
      </w:pPr>
    </w:p>
    <w:p w14:paraId="74518A16" w14:textId="77777777" w:rsidR="009C765A" w:rsidRPr="00873911" w:rsidRDefault="009C765A" w:rsidP="009C765A">
      <w:pPr>
        <w:rPr>
          <w:rFonts w:cs="Arial"/>
        </w:rPr>
      </w:pPr>
    </w:p>
    <w:p w14:paraId="772B51A5" w14:textId="77777777" w:rsidR="009C765A" w:rsidRPr="00873911" w:rsidRDefault="009C765A" w:rsidP="009C765A">
      <w:pPr>
        <w:rPr>
          <w:rFonts w:cs="Arial"/>
        </w:rPr>
      </w:pPr>
    </w:p>
    <w:p w14:paraId="53E81742" w14:textId="77777777" w:rsidR="009C765A" w:rsidRPr="00873911" w:rsidRDefault="009C765A" w:rsidP="009C765A">
      <w:pPr>
        <w:rPr>
          <w:rFonts w:cs="Arial"/>
        </w:rPr>
      </w:pPr>
    </w:p>
    <w:p w14:paraId="09D1239C" w14:textId="77777777" w:rsidR="009C765A" w:rsidRPr="00873911" w:rsidRDefault="009C765A" w:rsidP="009C765A">
      <w:pPr>
        <w:rPr>
          <w:rFonts w:cs="Arial"/>
        </w:rPr>
      </w:pPr>
    </w:p>
    <w:p w14:paraId="374FC8FA" w14:textId="77777777" w:rsidR="009C765A" w:rsidRPr="00873911" w:rsidRDefault="009C765A" w:rsidP="009C765A">
      <w:pPr>
        <w:rPr>
          <w:rFonts w:cs="Arial"/>
        </w:rPr>
      </w:pPr>
    </w:p>
    <w:p w14:paraId="0ADDE63B" w14:textId="77777777" w:rsidR="009C765A" w:rsidRPr="00873911" w:rsidRDefault="009C765A" w:rsidP="009C765A">
      <w:pPr>
        <w:rPr>
          <w:rFonts w:cs="Arial"/>
        </w:rPr>
      </w:pPr>
    </w:p>
    <w:p w14:paraId="7DD61CE1" w14:textId="77777777" w:rsidR="009C765A" w:rsidRPr="00873911" w:rsidRDefault="009C765A" w:rsidP="009C765A">
      <w:pPr>
        <w:rPr>
          <w:rFonts w:cs="Arial"/>
        </w:rPr>
      </w:pPr>
    </w:p>
    <w:p w14:paraId="2EB24AF5" w14:textId="77777777" w:rsidR="009C765A" w:rsidRDefault="009C765A" w:rsidP="009C765A">
      <w:pPr>
        <w:rPr>
          <w:rFonts w:cs="Arial"/>
        </w:rPr>
      </w:pPr>
    </w:p>
    <w:p w14:paraId="08F2668F" w14:textId="77777777" w:rsidR="009C765A" w:rsidRDefault="009C765A" w:rsidP="009C765A">
      <w:pPr>
        <w:rPr>
          <w:rFonts w:cs="Arial"/>
        </w:rPr>
      </w:pPr>
    </w:p>
    <w:p w14:paraId="56552F59" w14:textId="77777777" w:rsidR="009C765A" w:rsidRDefault="009C765A" w:rsidP="009C765A">
      <w:pPr>
        <w:rPr>
          <w:rFonts w:cs="Arial"/>
        </w:rPr>
      </w:pPr>
    </w:p>
    <w:p w14:paraId="1D065A67" w14:textId="77777777" w:rsidR="009C765A" w:rsidRDefault="009C765A" w:rsidP="009C765A">
      <w:pPr>
        <w:rPr>
          <w:rFonts w:cs="Arial"/>
        </w:rPr>
      </w:pPr>
    </w:p>
    <w:p w14:paraId="17C6D891" w14:textId="77777777" w:rsidR="009C765A" w:rsidRDefault="009C765A" w:rsidP="009C765A">
      <w:pPr>
        <w:rPr>
          <w:rFonts w:cs="Arial"/>
        </w:rPr>
      </w:pPr>
    </w:p>
    <w:p w14:paraId="426F0087" w14:textId="77777777" w:rsidR="009C765A" w:rsidRDefault="009C765A" w:rsidP="009C765A">
      <w:pPr>
        <w:rPr>
          <w:rFonts w:cs="Arial"/>
        </w:rPr>
      </w:pPr>
    </w:p>
    <w:p w14:paraId="37740A51" w14:textId="4A88DDF0" w:rsidR="009C765A" w:rsidRDefault="009C765A" w:rsidP="009C765A">
      <w:pPr>
        <w:rPr>
          <w:rFonts w:cs="Arial"/>
        </w:rPr>
      </w:pPr>
    </w:p>
    <w:p w14:paraId="7FB7244A" w14:textId="2FF829F6" w:rsidR="00050831" w:rsidRDefault="00050831" w:rsidP="009C765A">
      <w:pPr>
        <w:rPr>
          <w:rFonts w:cs="Arial"/>
        </w:rPr>
      </w:pPr>
    </w:p>
    <w:p w14:paraId="5E6E9E9A" w14:textId="54C76AC9" w:rsidR="00050831" w:rsidRDefault="00050831" w:rsidP="009C765A">
      <w:pPr>
        <w:rPr>
          <w:rFonts w:cs="Arial"/>
        </w:rPr>
      </w:pPr>
    </w:p>
    <w:p w14:paraId="01588FFE" w14:textId="3D98B720" w:rsidR="00050831" w:rsidRDefault="00050831" w:rsidP="009C765A">
      <w:pPr>
        <w:rPr>
          <w:rFonts w:cs="Arial"/>
        </w:rPr>
      </w:pPr>
    </w:p>
    <w:p w14:paraId="26B614C7" w14:textId="3247E68B" w:rsidR="00050831" w:rsidRDefault="00050831" w:rsidP="009C765A">
      <w:pPr>
        <w:rPr>
          <w:rFonts w:cs="Arial"/>
        </w:rPr>
      </w:pPr>
    </w:p>
    <w:p w14:paraId="0B642A95" w14:textId="1CC23F91" w:rsidR="00050831" w:rsidRDefault="00050831" w:rsidP="009C765A">
      <w:pPr>
        <w:rPr>
          <w:rFonts w:cs="Arial"/>
        </w:rPr>
      </w:pPr>
    </w:p>
    <w:p w14:paraId="6448C874" w14:textId="77777777" w:rsidR="00050831" w:rsidRDefault="00050831" w:rsidP="009C765A">
      <w:pPr>
        <w:rPr>
          <w:rFonts w:cs="Arial"/>
        </w:rPr>
      </w:pPr>
    </w:p>
    <w:p w14:paraId="79BCA601" w14:textId="77777777" w:rsidR="009C765A" w:rsidRDefault="009C765A" w:rsidP="009C765A">
      <w:pPr>
        <w:rPr>
          <w:rFonts w:cs="Arial"/>
        </w:rPr>
      </w:pPr>
    </w:p>
    <w:p w14:paraId="553979BC" w14:textId="77777777" w:rsidR="009C765A" w:rsidRDefault="009C765A" w:rsidP="009C765A">
      <w:pPr>
        <w:rPr>
          <w:rFonts w:cs="Arial"/>
        </w:rPr>
      </w:pPr>
    </w:p>
    <w:p w14:paraId="1900076D" w14:textId="77777777" w:rsidR="009C765A" w:rsidRDefault="009C765A" w:rsidP="009C765A">
      <w:pPr>
        <w:rPr>
          <w:rFonts w:cs="Arial"/>
        </w:rPr>
      </w:pPr>
    </w:p>
    <w:p w14:paraId="3129AA2E" w14:textId="77777777" w:rsidR="009C765A" w:rsidRPr="00873911" w:rsidRDefault="009C765A" w:rsidP="009C765A">
      <w:pPr>
        <w:rPr>
          <w:rFonts w:cs="Arial"/>
        </w:rPr>
      </w:pPr>
    </w:p>
    <w:p w14:paraId="2672686D" w14:textId="77777777" w:rsidR="009C765A" w:rsidRPr="00873911" w:rsidRDefault="009C765A" w:rsidP="009C765A">
      <w:pPr>
        <w:rPr>
          <w:rFonts w:cs="Arial"/>
        </w:rPr>
      </w:pPr>
    </w:p>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9C765A" w:rsidRPr="00C532E5" w14:paraId="315377D0" w14:textId="77777777" w:rsidTr="009C765A">
        <w:tc>
          <w:tcPr>
            <w:tcW w:w="6480" w:type="dxa"/>
            <w:shd w:val="clear" w:color="auto" w:fill="auto"/>
          </w:tcPr>
          <w:p w14:paraId="0E1CDC8A" w14:textId="77777777" w:rsidR="009C765A" w:rsidRPr="00733614" w:rsidRDefault="009C765A" w:rsidP="009C765A">
            <w:pPr>
              <w:pStyle w:val="BodyText2"/>
              <w:jc w:val="left"/>
              <w:rPr>
                <w:rFonts w:ascii="Arial" w:hAnsi="Arial" w:cs="Arial"/>
                <w:b/>
                <w:bCs/>
                <w:lang w:val="en-GB"/>
              </w:rPr>
            </w:pPr>
          </w:p>
          <w:p w14:paraId="044563CB" w14:textId="00800693" w:rsidR="009C765A" w:rsidRPr="00050831" w:rsidRDefault="009C765A" w:rsidP="009C765A">
            <w:pPr>
              <w:pStyle w:val="BodyText2"/>
              <w:jc w:val="left"/>
              <w:rPr>
                <w:rFonts w:ascii="Arial" w:hAnsi="Arial" w:cs="Arial"/>
                <w:lang w:val="en-GB"/>
              </w:rPr>
            </w:pPr>
            <w:r w:rsidRPr="00733614">
              <w:rPr>
                <w:rFonts w:ascii="Arial" w:hAnsi="Arial" w:cs="Arial"/>
                <w:b/>
                <w:bCs/>
                <w:lang w:val="en-GB"/>
              </w:rPr>
              <w:t xml:space="preserve">Document </w:t>
            </w:r>
            <w:r w:rsidRPr="00733614">
              <w:rPr>
                <w:rFonts w:ascii="Arial" w:hAnsi="Arial" w:cs="Arial"/>
                <w:b/>
                <w:bCs/>
              </w:rPr>
              <w:t>Owner:</w:t>
            </w:r>
            <w:r w:rsidRPr="00733614">
              <w:rPr>
                <w:rFonts w:ascii="Arial" w:hAnsi="Arial" w:cs="Arial"/>
                <w:b/>
                <w:bCs/>
              </w:rPr>
              <w:tab/>
            </w:r>
            <w:r w:rsidR="00050831">
              <w:rPr>
                <w:rFonts w:ascii="Arial" w:hAnsi="Arial" w:cs="Arial"/>
                <w:lang w:val="en-GB"/>
              </w:rPr>
              <w:t>Student Learning &amp; Academic Registry</w:t>
            </w:r>
          </w:p>
          <w:p w14:paraId="7512050F" w14:textId="3A559F41" w:rsidR="009C765A" w:rsidRPr="00733614" w:rsidRDefault="009C765A" w:rsidP="009C765A">
            <w:pPr>
              <w:pStyle w:val="BodyText2"/>
              <w:jc w:val="left"/>
              <w:rPr>
                <w:rFonts w:ascii="Arial" w:hAnsi="Arial" w:cs="Arial"/>
                <w:bCs/>
              </w:rPr>
            </w:pPr>
            <w:r w:rsidRPr="00733614">
              <w:rPr>
                <w:rFonts w:ascii="Arial" w:hAnsi="Arial" w:cs="Arial"/>
                <w:b/>
                <w:bCs/>
              </w:rPr>
              <w:t>Version number:</w:t>
            </w:r>
            <w:r w:rsidRPr="00733614">
              <w:rPr>
                <w:rFonts w:ascii="Arial" w:hAnsi="Arial" w:cs="Arial"/>
                <w:b/>
                <w:bCs/>
              </w:rPr>
              <w:tab/>
            </w:r>
            <w:r>
              <w:rPr>
                <w:rFonts w:ascii="Arial" w:hAnsi="Arial" w:cs="Arial"/>
                <w:b/>
                <w:bCs/>
                <w:lang w:val="en-GB"/>
              </w:rPr>
              <w:t>1</w:t>
            </w:r>
            <w:r w:rsidRPr="00733614">
              <w:rPr>
                <w:rFonts w:ascii="Arial" w:hAnsi="Arial" w:cs="Arial"/>
                <w:b/>
                <w:bCs/>
                <w:lang w:val="en-GB"/>
              </w:rPr>
              <w:t>.</w:t>
            </w:r>
            <w:r w:rsidR="006A1803">
              <w:rPr>
                <w:rFonts w:ascii="Arial" w:hAnsi="Arial" w:cs="Arial"/>
                <w:b/>
                <w:bCs/>
                <w:lang w:val="en-GB"/>
              </w:rPr>
              <w:t>1</w:t>
            </w:r>
          </w:p>
          <w:p w14:paraId="4F5917FE" w14:textId="77777777" w:rsidR="009C765A" w:rsidRPr="00733614" w:rsidRDefault="009C765A" w:rsidP="009C765A">
            <w:pPr>
              <w:overflowPunct w:val="0"/>
              <w:autoSpaceDE w:val="0"/>
              <w:autoSpaceDN w:val="0"/>
              <w:adjustRightInd w:val="0"/>
              <w:textAlignment w:val="baseline"/>
              <w:rPr>
                <w:rFonts w:cs="Arial"/>
                <w:sz w:val="20"/>
                <w:szCs w:val="20"/>
                <w:lang w:val="en-US"/>
              </w:rPr>
            </w:pPr>
            <w:r w:rsidRPr="00733614">
              <w:rPr>
                <w:rFonts w:cs="Arial"/>
                <w:b/>
                <w:bCs/>
                <w:sz w:val="20"/>
                <w:szCs w:val="20"/>
                <w:lang w:val="en-US"/>
              </w:rPr>
              <w:t>Effective date:</w:t>
            </w:r>
            <w:r w:rsidRPr="00733614">
              <w:rPr>
                <w:rFonts w:cs="Arial"/>
                <w:sz w:val="20"/>
                <w:szCs w:val="20"/>
                <w:lang w:val="en-US"/>
              </w:rPr>
              <w:tab/>
            </w:r>
            <w:r w:rsidRPr="00733614">
              <w:rPr>
                <w:rFonts w:cs="Arial"/>
                <w:sz w:val="20"/>
                <w:szCs w:val="20"/>
                <w:lang w:val="en-US"/>
              </w:rPr>
              <w:tab/>
            </w:r>
            <w:r>
              <w:rPr>
                <w:rFonts w:cs="Arial"/>
                <w:sz w:val="20"/>
                <w:szCs w:val="20"/>
                <w:lang w:val="en-US"/>
              </w:rPr>
              <w:t>September 2023</w:t>
            </w:r>
            <w:r w:rsidRPr="00733614">
              <w:rPr>
                <w:rFonts w:cs="Arial"/>
                <w:sz w:val="20"/>
                <w:szCs w:val="20"/>
                <w:lang w:val="en-US"/>
              </w:rPr>
              <w:t xml:space="preserve"> (Academic Year 202</w:t>
            </w:r>
            <w:r>
              <w:rPr>
                <w:rFonts w:cs="Arial"/>
                <w:sz w:val="20"/>
                <w:szCs w:val="20"/>
                <w:lang w:val="en-US"/>
              </w:rPr>
              <w:t>3-24</w:t>
            </w:r>
            <w:r w:rsidRPr="00733614">
              <w:rPr>
                <w:rFonts w:cs="Arial"/>
                <w:sz w:val="20"/>
                <w:szCs w:val="20"/>
                <w:lang w:val="en-US"/>
              </w:rPr>
              <w:t>)</w:t>
            </w:r>
          </w:p>
          <w:p w14:paraId="27FA5BBE" w14:textId="77777777" w:rsidR="009C765A" w:rsidRPr="00733614" w:rsidRDefault="009C765A" w:rsidP="009C765A">
            <w:pPr>
              <w:overflowPunct w:val="0"/>
              <w:autoSpaceDE w:val="0"/>
              <w:autoSpaceDN w:val="0"/>
              <w:adjustRightInd w:val="0"/>
              <w:textAlignment w:val="baseline"/>
              <w:rPr>
                <w:rFonts w:cs="Arial"/>
                <w:sz w:val="20"/>
                <w:szCs w:val="20"/>
                <w:lang w:val="en-US"/>
              </w:rPr>
            </w:pPr>
            <w:r w:rsidRPr="00733614">
              <w:rPr>
                <w:rFonts w:cs="Arial"/>
                <w:b/>
                <w:bCs/>
                <w:sz w:val="20"/>
                <w:szCs w:val="20"/>
                <w:lang w:val="en-US"/>
              </w:rPr>
              <w:t xml:space="preserve">Date of next review:  </w:t>
            </w:r>
            <w:r w:rsidRPr="00733614">
              <w:rPr>
                <w:rFonts w:cs="Arial"/>
                <w:b/>
                <w:bCs/>
                <w:sz w:val="20"/>
                <w:szCs w:val="20"/>
                <w:lang w:val="en-US"/>
              </w:rPr>
              <w:tab/>
            </w:r>
            <w:r w:rsidRPr="00733614">
              <w:rPr>
                <w:rFonts w:cs="Arial"/>
                <w:sz w:val="20"/>
                <w:szCs w:val="20"/>
                <w:lang w:val="en-US"/>
              </w:rPr>
              <w:t>July 202</w:t>
            </w:r>
            <w:r>
              <w:rPr>
                <w:rFonts w:cs="Arial"/>
                <w:sz w:val="20"/>
                <w:szCs w:val="20"/>
                <w:lang w:val="en-US"/>
              </w:rPr>
              <w:t>4</w:t>
            </w:r>
          </w:p>
          <w:p w14:paraId="4A9E5426" w14:textId="77777777" w:rsidR="009C765A" w:rsidRPr="00733614" w:rsidRDefault="009C765A" w:rsidP="009C765A">
            <w:pPr>
              <w:overflowPunct w:val="0"/>
              <w:autoSpaceDE w:val="0"/>
              <w:autoSpaceDN w:val="0"/>
              <w:adjustRightInd w:val="0"/>
              <w:textAlignment w:val="baseline"/>
              <w:rPr>
                <w:rFonts w:cs="Arial"/>
                <w:sz w:val="20"/>
                <w:szCs w:val="20"/>
                <w:lang w:val="en-US"/>
              </w:rPr>
            </w:pPr>
          </w:p>
          <w:p w14:paraId="05E597F7" w14:textId="77777777" w:rsidR="00050831" w:rsidRPr="00733614" w:rsidRDefault="00050831" w:rsidP="00050831">
            <w:pPr>
              <w:rPr>
                <w:rFonts w:cs="Arial"/>
              </w:rPr>
            </w:pPr>
            <w:r w:rsidRPr="00733614">
              <w:rPr>
                <w:rFonts w:cs="Arial"/>
                <w:i/>
                <w:iCs/>
                <w:sz w:val="20"/>
                <w:szCs w:val="20"/>
              </w:rPr>
              <w:t xml:space="preserve">This document is part of the University Quality Framework, which governs the University’s academic provision. </w:t>
            </w:r>
          </w:p>
          <w:p w14:paraId="5AFCDA67" w14:textId="77777777" w:rsidR="009C765A" w:rsidRPr="00733614" w:rsidRDefault="009C765A" w:rsidP="00280145">
            <w:pPr>
              <w:rPr>
                <w:rFonts w:cs="Arial"/>
              </w:rPr>
            </w:pPr>
          </w:p>
        </w:tc>
      </w:tr>
    </w:tbl>
    <w:p w14:paraId="6A282A98" w14:textId="77777777" w:rsidR="009C765A" w:rsidRDefault="009C765A" w:rsidP="009C765A">
      <w:pPr>
        <w:tabs>
          <w:tab w:val="left" w:pos="4080"/>
        </w:tabs>
        <w:rPr>
          <w:rFonts w:cs="Arial"/>
        </w:rPr>
      </w:pPr>
    </w:p>
    <w:p w14:paraId="21F706BA" w14:textId="77777777" w:rsidR="009C765A" w:rsidRPr="00873911" w:rsidRDefault="009C765A" w:rsidP="009C765A">
      <w:pPr>
        <w:tabs>
          <w:tab w:val="left" w:pos="4080"/>
        </w:tabs>
        <w:rPr>
          <w:rFonts w:cs="Arial"/>
        </w:rPr>
        <w:sectPr w:rsidR="009C765A" w:rsidRPr="00873911" w:rsidSect="009C765A">
          <w:headerReference w:type="default" r:id="rId11"/>
          <w:footerReference w:type="default" r:id="rId12"/>
          <w:headerReference w:type="first" r:id="rId13"/>
          <w:pgSz w:w="11906" w:h="16838" w:code="9"/>
          <w:pgMar w:top="1440" w:right="1440" w:bottom="1440" w:left="1440" w:header="720" w:footer="720" w:gutter="0"/>
          <w:cols w:space="708"/>
          <w:titlePg/>
          <w:docGrid w:linePitch="360"/>
        </w:sectPr>
      </w:pPr>
    </w:p>
    <w:p w14:paraId="42B23FD5" w14:textId="1B5C1FDC" w:rsidR="006500CE" w:rsidRDefault="003601AA" w:rsidP="002C620B">
      <w:pPr>
        <w:pStyle w:val="Heading1"/>
        <w:numPr>
          <w:ilvl w:val="0"/>
          <w:numId w:val="22"/>
        </w:numPr>
        <w:spacing w:before="0" w:after="0" w:line="240" w:lineRule="auto"/>
        <w:ind w:hanging="720"/>
      </w:pPr>
      <w:r w:rsidRPr="007E7D42">
        <w:lastRenderedPageBreak/>
        <w:t>INTRODUCTION</w:t>
      </w:r>
    </w:p>
    <w:p w14:paraId="666DBF98" w14:textId="77777777" w:rsidR="001F0002" w:rsidRPr="001F0002" w:rsidRDefault="001F0002" w:rsidP="001F0002"/>
    <w:p w14:paraId="59E1598F" w14:textId="7B13C73D" w:rsidR="00846876" w:rsidRDefault="003601AA" w:rsidP="00DC3A8B">
      <w:pPr>
        <w:pStyle w:val="Heading2"/>
        <w:spacing w:before="0" w:after="0" w:line="240" w:lineRule="auto"/>
      </w:pPr>
      <w:r>
        <w:t xml:space="preserve">1.1 </w:t>
      </w:r>
      <w:r>
        <w:tab/>
      </w:r>
      <w:r w:rsidR="00846876" w:rsidRPr="007E7D42">
        <w:t>Purpose</w:t>
      </w:r>
      <w:r w:rsidR="00846876">
        <w:t xml:space="preserve"> of the </w:t>
      </w:r>
      <w:r w:rsidR="00735C28">
        <w:t>Teach</w:t>
      </w:r>
      <w:r w:rsidR="00726EBC">
        <w:t>-</w:t>
      </w:r>
      <w:r w:rsidR="00735C28">
        <w:t>Out Process</w:t>
      </w:r>
    </w:p>
    <w:p w14:paraId="285BA8F2" w14:textId="77777777" w:rsidR="00DC3A8B" w:rsidRPr="00DC3A8B" w:rsidRDefault="00DC3A8B" w:rsidP="00DC3A8B"/>
    <w:p w14:paraId="24DB4603" w14:textId="7D879E48" w:rsidR="00846876" w:rsidRDefault="00D174DE" w:rsidP="00DC3A8B">
      <w:pPr>
        <w:ind w:left="720"/>
      </w:pPr>
      <w:r w:rsidRPr="00D174DE">
        <w:t xml:space="preserve">The </w:t>
      </w:r>
      <w:r w:rsidR="00726EBC">
        <w:t>T</w:t>
      </w:r>
      <w:r w:rsidR="00BA590C">
        <w:t>each</w:t>
      </w:r>
      <w:r w:rsidR="00726EBC">
        <w:t>-O</w:t>
      </w:r>
      <w:r w:rsidR="00BA590C">
        <w:t>ut process</w:t>
      </w:r>
      <w:r w:rsidRPr="00D174DE">
        <w:t xml:space="preserve"> is designed to assist the University and the Partners </w:t>
      </w:r>
      <w:r w:rsidR="005B6F49">
        <w:t>in implementing</w:t>
      </w:r>
      <w:r w:rsidRPr="00D174DE">
        <w:t xml:space="preserve"> the necessary </w:t>
      </w:r>
      <w:r w:rsidR="00207FB0">
        <w:t xml:space="preserve">quality assurance </w:t>
      </w:r>
      <w:r w:rsidRPr="00D174DE">
        <w:t>activities</w:t>
      </w:r>
      <w:r w:rsidR="00207FB0">
        <w:t xml:space="preserve"> </w:t>
      </w:r>
      <w:r w:rsidR="00BA590C">
        <w:t>when a</w:t>
      </w:r>
      <w:r w:rsidR="00DD08AE">
        <w:t xml:space="preserve"> partnership or course comes to an end.</w:t>
      </w:r>
    </w:p>
    <w:p w14:paraId="0D99CD5E" w14:textId="77777777" w:rsidR="00DC3A8B" w:rsidRDefault="00DC3A8B" w:rsidP="00DC3A8B">
      <w:pPr>
        <w:ind w:left="720"/>
      </w:pPr>
    </w:p>
    <w:p w14:paraId="7300EB80" w14:textId="0E95F16B" w:rsidR="007E3BE1" w:rsidRDefault="00846876" w:rsidP="00DC3A8B">
      <w:pPr>
        <w:pStyle w:val="Heading2"/>
        <w:spacing w:before="0" w:after="0" w:line="240" w:lineRule="auto"/>
      </w:pPr>
      <w:r>
        <w:t xml:space="preserve">1.2 </w:t>
      </w:r>
      <w:r>
        <w:tab/>
      </w:r>
      <w:r w:rsidR="007E3BE1">
        <w:t xml:space="preserve">Scope of the University </w:t>
      </w:r>
      <w:r w:rsidR="008D68D6">
        <w:t>Teach</w:t>
      </w:r>
      <w:r w:rsidR="00726EBC">
        <w:t>-</w:t>
      </w:r>
      <w:r w:rsidR="008D68D6">
        <w:t>Out Process</w:t>
      </w:r>
    </w:p>
    <w:p w14:paraId="6CFE2D1D" w14:textId="77777777" w:rsidR="00DC3A8B" w:rsidRPr="00DC3A8B" w:rsidRDefault="00DC3A8B" w:rsidP="00DC3A8B"/>
    <w:p w14:paraId="42A9CCC9" w14:textId="1051F910" w:rsidR="000530B5" w:rsidRDefault="007E3BE1" w:rsidP="00DC3A8B">
      <w:pPr>
        <w:ind w:left="720"/>
        <w:rPr>
          <w:rStyle w:val="normaltextrun"/>
          <w:rFonts w:cs="Arial"/>
        </w:rPr>
      </w:pPr>
      <w:r>
        <w:t>Th</w:t>
      </w:r>
      <w:r w:rsidR="00263C75">
        <w:t>e</w:t>
      </w:r>
      <w:r>
        <w:t xml:space="preserve"> </w:t>
      </w:r>
      <w:r w:rsidR="008D68D6">
        <w:t xml:space="preserve">process </w:t>
      </w:r>
      <w:r>
        <w:t xml:space="preserve">is relevant to University and Partners </w:t>
      </w:r>
      <w:r w:rsidR="0049392E">
        <w:t>staff</w:t>
      </w:r>
      <w:r w:rsidR="00726EBC">
        <w:t>,</w:t>
      </w:r>
      <w:r w:rsidR="0049392E">
        <w:t xml:space="preserve"> </w:t>
      </w:r>
      <w:r>
        <w:t xml:space="preserve">and </w:t>
      </w:r>
      <w:r w:rsidR="0049392E">
        <w:t>i</w:t>
      </w:r>
      <w:r w:rsidR="00126161">
        <w:t>t</w:t>
      </w:r>
      <w:r>
        <w:t xml:space="preserve"> should be read in conjunction</w:t>
      </w:r>
      <w:r w:rsidR="00A36045">
        <w:t xml:space="preserve"> </w:t>
      </w:r>
      <w:r w:rsidR="00646C12">
        <w:t xml:space="preserve">with </w:t>
      </w:r>
      <w:r w:rsidR="00997779">
        <w:t>t</w:t>
      </w:r>
      <w:r w:rsidR="002A7CFE">
        <w:t xml:space="preserve">he </w:t>
      </w:r>
      <w:r w:rsidR="00997779">
        <w:t xml:space="preserve">relevant </w:t>
      </w:r>
      <w:r w:rsidR="002A7CFE">
        <w:t xml:space="preserve">Operations Manual and its </w:t>
      </w:r>
      <w:r w:rsidR="000530B5">
        <w:rPr>
          <w:rStyle w:val="normaltextrun"/>
          <w:rFonts w:cs="Arial"/>
        </w:rPr>
        <w:t>supporting documents</w:t>
      </w:r>
      <w:r w:rsidR="00C979FF">
        <w:rPr>
          <w:rStyle w:val="normaltextrun"/>
          <w:rFonts w:cs="Arial"/>
        </w:rPr>
        <w:t>, which include</w:t>
      </w:r>
      <w:r w:rsidR="000530B5">
        <w:rPr>
          <w:rStyle w:val="normaltextrun"/>
          <w:rFonts w:cs="Arial"/>
        </w:rPr>
        <w:t>:</w:t>
      </w:r>
    </w:p>
    <w:p w14:paraId="4A031FA0" w14:textId="77777777" w:rsidR="00DC3A8B" w:rsidRPr="00DC3A8B" w:rsidRDefault="00DC3A8B" w:rsidP="00DC3A8B">
      <w:pPr>
        <w:rPr>
          <w:rFonts w:cs="Arial"/>
          <w:szCs w:val="24"/>
        </w:rPr>
      </w:pPr>
    </w:p>
    <w:p w14:paraId="3F22C924" w14:textId="0098210E" w:rsidR="000530B5" w:rsidRDefault="000530B5" w:rsidP="00DC3A8B">
      <w:pPr>
        <w:ind w:left="720"/>
        <w:rPr>
          <w:rStyle w:val="eop"/>
          <w:rFonts w:cs="Arial"/>
        </w:rPr>
      </w:pPr>
      <w:r>
        <w:rPr>
          <w:rStyle w:val="normaltextrun"/>
          <w:rFonts w:cs="Arial"/>
          <w:b/>
          <w:bCs/>
        </w:rPr>
        <w:t xml:space="preserve">The </w:t>
      </w:r>
      <w:r w:rsidRPr="000530B5">
        <w:rPr>
          <w:rStyle w:val="normaltextrun"/>
          <w:rFonts w:cs="Arial"/>
          <w:b/>
          <w:bCs/>
        </w:rPr>
        <w:t xml:space="preserve">Contract </w:t>
      </w:r>
      <w:r>
        <w:rPr>
          <w:rStyle w:val="normaltextrun"/>
          <w:rFonts w:cs="Arial"/>
          <w:b/>
          <w:bCs/>
        </w:rPr>
        <w:t>for Collaborative Provision between the University and the Partner</w:t>
      </w:r>
    </w:p>
    <w:p w14:paraId="348B3EE6" w14:textId="0D988E00" w:rsidR="000530B5" w:rsidRDefault="000530B5" w:rsidP="00DC3A8B">
      <w:pPr>
        <w:ind w:left="720"/>
        <w:rPr>
          <w:rStyle w:val="eop"/>
          <w:rFonts w:cs="Arial"/>
        </w:rPr>
      </w:pPr>
      <w:r>
        <w:rPr>
          <w:rStyle w:val="normaltextrun"/>
          <w:rFonts w:cs="Arial"/>
        </w:rPr>
        <w:t>Th</w:t>
      </w:r>
      <w:r w:rsidR="002B1257">
        <w:rPr>
          <w:rStyle w:val="normaltextrun"/>
          <w:rFonts w:cs="Arial"/>
        </w:rPr>
        <w:t xml:space="preserve">e Contract for Collaborative </w:t>
      </w:r>
      <w:r w:rsidR="008A3E8E">
        <w:rPr>
          <w:rStyle w:val="normaltextrun"/>
          <w:rFonts w:cs="Arial"/>
        </w:rPr>
        <w:t>Provision</w:t>
      </w:r>
      <w:r w:rsidR="00D947C6">
        <w:rPr>
          <w:rStyle w:val="normaltextrun"/>
          <w:rFonts w:cs="Arial"/>
        </w:rPr>
        <w:t xml:space="preserve"> (CCP)</w:t>
      </w:r>
      <w:r>
        <w:rPr>
          <w:rStyle w:val="normaltextrun"/>
          <w:rFonts w:cs="Arial"/>
        </w:rPr>
        <w:t xml:space="preserve"> details the contractual arrangements between the University and the Partner, the Financial Memorandum and the Schedule of Approved Courses, locations of delivery and agreed minimum target numbers.</w:t>
      </w:r>
      <w:r w:rsidR="004400E2">
        <w:rPr>
          <w:rStyle w:val="normaltextrun"/>
          <w:rFonts w:cs="Arial"/>
        </w:rPr>
        <w:t xml:space="preserve"> </w:t>
      </w:r>
      <w:r>
        <w:rPr>
          <w:rStyle w:val="normaltextrun"/>
          <w:rFonts w:cs="Arial"/>
        </w:rPr>
        <w:t xml:space="preserve"> The formal CCP contract is coordinated, </w:t>
      </w:r>
      <w:r w:rsidR="00325091">
        <w:rPr>
          <w:rStyle w:val="normaltextrun"/>
          <w:rFonts w:cs="Arial"/>
        </w:rPr>
        <w:t>managed,</w:t>
      </w:r>
      <w:r>
        <w:rPr>
          <w:rStyle w:val="normaltextrun"/>
          <w:rFonts w:cs="Arial"/>
        </w:rPr>
        <w:t xml:space="preserve"> and updated </w:t>
      </w:r>
      <w:r w:rsidR="00726EBC">
        <w:rPr>
          <w:rStyle w:val="normaltextrun"/>
          <w:rFonts w:cs="Arial"/>
        </w:rPr>
        <w:t>by</w:t>
      </w:r>
      <w:r w:rsidR="000B1F8B">
        <w:rPr>
          <w:rStyle w:val="normaltextrun"/>
          <w:rFonts w:cs="Arial"/>
        </w:rPr>
        <w:t xml:space="preserve"> the</w:t>
      </w:r>
      <w:r w:rsidR="00726EBC">
        <w:rPr>
          <w:rStyle w:val="normaltextrun"/>
          <w:rFonts w:cs="Arial"/>
        </w:rPr>
        <w:t xml:space="preserve"> </w:t>
      </w:r>
      <w:r>
        <w:rPr>
          <w:rStyle w:val="normaltextrun"/>
          <w:rFonts w:cs="Arial"/>
        </w:rPr>
        <w:t>School(s) in conjunction with the</w:t>
      </w:r>
      <w:r w:rsidR="00207FB0">
        <w:rPr>
          <w:rStyle w:val="normaltextrun"/>
          <w:rFonts w:cs="Arial"/>
        </w:rPr>
        <w:t xml:space="preserve"> Department of</w:t>
      </w:r>
      <w:r>
        <w:rPr>
          <w:rStyle w:val="normaltextrun"/>
          <w:rFonts w:cs="Arial"/>
        </w:rPr>
        <w:t xml:space="preserve"> Legal and Governance Services.</w:t>
      </w:r>
    </w:p>
    <w:p w14:paraId="7B168563" w14:textId="77777777" w:rsidR="001F0002" w:rsidRDefault="001F0002" w:rsidP="00DC3A8B">
      <w:pPr>
        <w:ind w:left="720"/>
        <w:rPr>
          <w:rStyle w:val="eop"/>
          <w:rFonts w:cs="Arial"/>
        </w:rPr>
      </w:pPr>
    </w:p>
    <w:p w14:paraId="484DFABB" w14:textId="2AB065BD" w:rsidR="00EF31A0" w:rsidRDefault="00EF31A0" w:rsidP="00DC3A8B">
      <w:pPr>
        <w:ind w:left="720"/>
        <w:rPr>
          <w:rStyle w:val="eop"/>
          <w:rFonts w:cs="Arial"/>
          <w:b/>
          <w:bCs/>
        </w:rPr>
      </w:pPr>
      <w:r w:rsidRPr="00EF31A0">
        <w:rPr>
          <w:rStyle w:val="eop"/>
          <w:rFonts w:cs="Arial"/>
          <w:b/>
          <w:bCs/>
        </w:rPr>
        <w:t>The Student Protection Plan</w:t>
      </w:r>
    </w:p>
    <w:p w14:paraId="78387602" w14:textId="5A7FC6C4" w:rsidR="00310988" w:rsidRPr="00310988" w:rsidRDefault="00BD01F7" w:rsidP="00DC3A8B">
      <w:pPr>
        <w:ind w:left="720"/>
        <w:rPr>
          <w:rStyle w:val="normaltextrun"/>
          <w:rFonts w:cs="Arial"/>
        </w:rPr>
      </w:pPr>
      <w:r>
        <w:rPr>
          <w:rStyle w:val="normaltextrun"/>
          <w:rFonts w:cs="Arial"/>
        </w:rPr>
        <w:t xml:space="preserve">The Teesside </w:t>
      </w:r>
      <w:r w:rsidRPr="0015610F">
        <w:t>University</w:t>
      </w:r>
      <w:r w:rsidR="0015610F" w:rsidRPr="0015610F">
        <w:t xml:space="preserve"> Student Protection Plan</w:t>
      </w:r>
      <w:r w:rsidR="0015610F">
        <w:t xml:space="preserve">, which can be found </w:t>
      </w:r>
      <w:r w:rsidR="005D0A35">
        <w:t xml:space="preserve">in the </w:t>
      </w:r>
      <w:hyperlink r:id="rId14" w:history="1">
        <w:r w:rsidR="005D0A35" w:rsidRPr="004400E2">
          <w:rPr>
            <w:rStyle w:val="Hyperlink"/>
            <w:b/>
            <w:bCs/>
            <w:color w:val="0070C0"/>
            <w:u w:val="none"/>
          </w:rPr>
          <w:t xml:space="preserve">Student </w:t>
        </w:r>
        <w:r w:rsidR="00E63951" w:rsidRPr="004400E2">
          <w:rPr>
            <w:rStyle w:val="Hyperlink"/>
            <w:b/>
            <w:bCs/>
            <w:color w:val="0070C0"/>
            <w:u w:val="none"/>
          </w:rPr>
          <w:t>Handbook</w:t>
        </w:r>
      </w:hyperlink>
      <w:r w:rsidR="00E63951" w:rsidRPr="00F32893">
        <w:rPr>
          <w:b/>
          <w:bCs/>
        </w:rPr>
        <w:t xml:space="preserve"> </w:t>
      </w:r>
      <w:r w:rsidR="005D0A35">
        <w:t xml:space="preserve">on the University website, </w:t>
      </w:r>
      <w:r w:rsidRPr="0015610F">
        <w:t>sets</w:t>
      </w:r>
      <w:r w:rsidR="00310988" w:rsidRPr="00310988">
        <w:rPr>
          <w:rStyle w:val="normaltextrun"/>
          <w:rFonts w:cs="Arial"/>
        </w:rPr>
        <w:t xml:space="preserve"> out what students can expect to happen should a course, campus, or institution close. </w:t>
      </w:r>
      <w:r w:rsidR="004400E2">
        <w:rPr>
          <w:rStyle w:val="normaltextrun"/>
          <w:rFonts w:cs="Arial"/>
        </w:rPr>
        <w:t xml:space="preserve"> </w:t>
      </w:r>
      <w:r w:rsidR="00310988" w:rsidRPr="00310988">
        <w:rPr>
          <w:rStyle w:val="normaltextrun"/>
          <w:rFonts w:cs="Arial"/>
        </w:rPr>
        <w:t xml:space="preserve">The purpose of </w:t>
      </w:r>
      <w:r w:rsidR="001A1F28">
        <w:rPr>
          <w:rStyle w:val="normaltextrun"/>
          <w:rFonts w:cs="Arial"/>
        </w:rPr>
        <w:t>the</w:t>
      </w:r>
      <w:r w:rsidR="00310988" w:rsidRPr="00310988">
        <w:rPr>
          <w:rStyle w:val="normaltextrun"/>
          <w:rFonts w:cs="Arial"/>
        </w:rPr>
        <w:t xml:space="preserve"> </w:t>
      </w:r>
      <w:r w:rsidR="00B320E9">
        <w:rPr>
          <w:rStyle w:val="normaltextrun"/>
          <w:rFonts w:cs="Arial"/>
        </w:rPr>
        <w:t>P</w:t>
      </w:r>
      <w:r w:rsidR="00310988" w:rsidRPr="00310988">
        <w:rPr>
          <w:rStyle w:val="normaltextrun"/>
          <w:rFonts w:cs="Arial"/>
        </w:rPr>
        <w:t xml:space="preserve">lan is to ensure students can continue and complete their </w:t>
      </w:r>
      <w:r w:rsidRPr="00310988">
        <w:rPr>
          <w:rStyle w:val="normaltextrun"/>
          <w:rFonts w:cs="Arial"/>
        </w:rPr>
        <w:t>studies or</w:t>
      </w:r>
      <w:r w:rsidR="00310988" w:rsidRPr="00310988">
        <w:rPr>
          <w:rStyle w:val="normaltextrun"/>
          <w:rFonts w:cs="Arial"/>
        </w:rPr>
        <w:t xml:space="preserve"> can be compensated if this is not possible.</w:t>
      </w:r>
    </w:p>
    <w:p w14:paraId="622D298C" w14:textId="77777777" w:rsidR="001F0002" w:rsidRPr="001F0002" w:rsidRDefault="001F0002" w:rsidP="00DC3A8B">
      <w:pPr>
        <w:ind w:left="720"/>
        <w:rPr>
          <w:rStyle w:val="normaltextrun"/>
          <w:rFonts w:cs="Arial"/>
          <w:szCs w:val="24"/>
        </w:rPr>
      </w:pPr>
    </w:p>
    <w:p w14:paraId="4F38A8B6" w14:textId="75BFC83A" w:rsidR="000530B5" w:rsidRPr="001F0002" w:rsidRDefault="000530B5" w:rsidP="00DC3A8B">
      <w:pPr>
        <w:ind w:left="720"/>
        <w:rPr>
          <w:rFonts w:cs="Arial"/>
          <w:szCs w:val="24"/>
        </w:rPr>
      </w:pPr>
      <w:r w:rsidRPr="001F0002">
        <w:rPr>
          <w:rStyle w:val="normaltextrun"/>
          <w:rFonts w:cs="Arial"/>
          <w:b/>
          <w:szCs w:val="24"/>
        </w:rPr>
        <w:t>Teesside University Student Handbook</w:t>
      </w:r>
    </w:p>
    <w:p w14:paraId="4BAD299B" w14:textId="33B58CC1" w:rsidR="000530B5" w:rsidRPr="001F0002" w:rsidRDefault="000530B5" w:rsidP="00DC3A8B">
      <w:pPr>
        <w:ind w:left="720"/>
        <w:rPr>
          <w:rStyle w:val="normaltextrun"/>
          <w:rFonts w:cs="Arial"/>
          <w:szCs w:val="24"/>
        </w:rPr>
      </w:pPr>
      <w:r w:rsidRPr="001F0002">
        <w:rPr>
          <w:rStyle w:val="normaltextrun"/>
          <w:rFonts w:cs="Arial"/>
          <w:szCs w:val="24"/>
        </w:rPr>
        <w:t xml:space="preserve">The </w:t>
      </w:r>
      <w:hyperlink r:id="rId15" w:history="1">
        <w:r w:rsidR="00F32893" w:rsidRPr="004400E2">
          <w:rPr>
            <w:rStyle w:val="Hyperlink"/>
            <w:rFonts w:cs="Arial"/>
            <w:b/>
            <w:color w:val="0070C0"/>
            <w:szCs w:val="24"/>
            <w:u w:val="none"/>
          </w:rPr>
          <w:t>Student Handbook</w:t>
        </w:r>
      </w:hyperlink>
      <w:r w:rsidR="00F32893" w:rsidRPr="001F0002">
        <w:rPr>
          <w:rFonts w:cs="Arial"/>
          <w:b/>
          <w:szCs w:val="24"/>
        </w:rPr>
        <w:t xml:space="preserve"> </w:t>
      </w:r>
      <w:r w:rsidRPr="001F0002">
        <w:rPr>
          <w:rStyle w:val="normaltextrun"/>
          <w:rFonts w:cs="Arial"/>
          <w:szCs w:val="24"/>
        </w:rPr>
        <w:t>outlines the services and facilities available to University students and the relevant University regulations which impact the student learning experience.</w:t>
      </w:r>
    </w:p>
    <w:p w14:paraId="2D4657D3" w14:textId="77777777" w:rsidR="001F0002" w:rsidRPr="001F0002" w:rsidRDefault="001F0002" w:rsidP="00DC3A8B">
      <w:pPr>
        <w:ind w:left="720"/>
        <w:rPr>
          <w:rFonts w:cs="Arial"/>
          <w:szCs w:val="24"/>
        </w:rPr>
      </w:pPr>
    </w:p>
    <w:p w14:paraId="2A20E6D5" w14:textId="65E96546" w:rsidR="000530B5" w:rsidRPr="001F0002" w:rsidRDefault="000530B5" w:rsidP="00DC3A8B">
      <w:pPr>
        <w:ind w:left="720"/>
        <w:rPr>
          <w:rFonts w:cs="Arial"/>
          <w:szCs w:val="24"/>
        </w:rPr>
      </w:pPr>
      <w:r w:rsidRPr="001F0002">
        <w:rPr>
          <w:rStyle w:val="normaltextrun"/>
          <w:rFonts w:cs="Arial"/>
          <w:b/>
          <w:szCs w:val="24"/>
        </w:rPr>
        <w:t>Teesside University Quality Framework</w:t>
      </w:r>
    </w:p>
    <w:p w14:paraId="4B444FD9" w14:textId="2756A4BF" w:rsidR="000530B5" w:rsidRDefault="000530B5" w:rsidP="00DC3A8B">
      <w:pPr>
        <w:ind w:left="720"/>
        <w:rPr>
          <w:rStyle w:val="eop"/>
          <w:rFonts w:cs="Arial"/>
        </w:rPr>
      </w:pPr>
      <w:r w:rsidRPr="001F0002">
        <w:rPr>
          <w:rStyle w:val="normaltextrun"/>
          <w:rFonts w:cs="Arial"/>
          <w:szCs w:val="24"/>
        </w:rPr>
        <w:t xml:space="preserve">The </w:t>
      </w:r>
      <w:hyperlink r:id="rId16" w:history="1">
        <w:r w:rsidRPr="004400E2">
          <w:rPr>
            <w:rStyle w:val="Hyperlink"/>
            <w:rFonts w:cs="Arial"/>
            <w:b/>
            <w:color w:val="0070C0"/>
            <w:szCs w:val="24"/>
            <w:u w:val="none"/>
          </w:rPr>
          <w:t>Quality Framework</w:t>
        </w:r>
      </w:hyperlink>
      <w:r w:rsidRPr="001F0002">
        <w:rPr>
          <w:rStyle w:val="normaltextrun"/>
          <w:rFonts w:cs="Arial"/>
          <w:szCs w:val="24"/>
        </w:rPr>
        <w:t xml:space="preserve"> sets out the necessary quality assurance and regulatory</w:t>
      </w:r>
      <w:r>
        <w:rPr>
          <w:rStyle w:val="normaltextrun"/>
          <w:rFonts w:cs="Arial"/>
        </w:rPr>
        <w:t xml:space="preserve"> procedures to ensure effective planning, assessment</w:t>
      </w:r>
      <w:r w:rsidR="00283704">
        <w:rPr>
          <w:rStyle w:val="normaltextrun"/>
          <w:rFonts w:cs="Arial"/>
        </w:rPr>
        <w:t>,</w:t>
      </w:r>
      <w:r>
        <w:rPr>
          <w:rStyle w:val="normaltextrun"/>
          <w:rFonts w:cs="Arial"/>
        </w:rPr>
        <w:t xml:space="preserve"> quality assurance and enhancement of courses. </w:t>
      </w:r>
      <w:r w:rsidR="004400E2">
        <w:rPr>
          <w:rStyle w:val="normaltextrun"/>
          <w:rFonts w:cs="Arial"/>
        </w:rPr>
        <w:t xml:space="preserve"> </w:t>
      </w:r>
      <w:r>
        <w:rPr>
          <w:rStyle w:val="normaltextrun"/>
          <w:rFonts w:cs="Arial"/>
        </w:rPr>
        <w:t>The Quality Framework also contains relevant information connected with collaborative provision to support the above procedures, including necessary annexes and links to guidance and forms.</w:t>
      </w:r>
      <w:r w:rsidR="00402B02">
        <w:rPr>
          <w:rStyle w:val="eop"/>
          <w:rFonts w:cs="Arial"/>
        </w:rPr>
        <w:t xml:space="preserve"> </w:t>
      </w:r>
      <w:r w:rsidR="004400E2">
        <w:rPr>
          <w:rStyle w:val="eop"/>
          <w:rFonts w:cs="Arial"/>
        </w:rPr>
        <w:t xml:space="preserve"> </w:t>
      </w:r>
      <w:r w:rsidR="004C63E2" w:rsidRPr="004C63E2">
        <w:rPr>
          <w:rStyle w:val="eop"/>
          <w:rFonts w:cs="Arial"/>
        </w:rPr>
        <w:t xml:space="preserve">Partners are advised to </w:t>
      </w:r>
      <w:r w:rsidR="00901F82">
        <w:rPr>
          <w:rStyle w:val="eop"/>
          <w:rFonts w:cs="Arial"/>
        </w:rPr>
        <w:t>refer to</w:t>
      </w:r>
      <w:r w:rsidR="004C63E2" w:rsidRPr="004C63E2">
        <w:rPr>
          <w:rStyle w:val="eop"/>
          <w:rFonts w:cs="Arial"/>
        </w:rPr>
        <w:t xml:space="preserve"> the Quality Framework, which signposts Partners to relevant sections of </w:t>
      </w:r>
      <w:r w:rsidR="001A1F28">
        <w:rPr>
          <w:rStyle w:val="eop"/>
          <w:rFonts w:cs="Arial"/>
        </w:rPr>
        <w:t>quality assurance activity</w:t>
      </w:r>
      <w:r w:rsidR="004C63E2" w:rsidRPr="004C63E2">
        <w:rPr>
          <w:rStyle w:val="eop"/>
          <w:rFonts w:cs="Arial"/>
        </w:rPr>
        <w:t xml:space="preserve"> and University regulations</w:t>
      </w:r>
      <w:r w:rsidR="001A1F28">
        <w:rPr>
          <w:rStyle w:val="eop"/>
          <w:rFonts w:cs="Arial"/>
        </w:rPr>
        <w:t xml:space="preserve"> and policies</w:t>
      </w:r>
      <w:r w:rsidR="004C63E2" w:rsidRPr="004C63E2">
        <w:rPr>
          <w:rStyle w:val="eop"/>
          <w:rFonts w:cs="Arial"/>
        </w:rPr>
        <w:t xml:space="preserve">.  </w:t>
      </w:r>
      <w:r w:rsidR="004C63E2" w:rsidRPr="004400E2">
        <w:rPr>
          <w:rStyle w:val="eop"/>
          <w:rFonts w:cs="Arial"/>
          <w:b/>
          <w:bCs/>
        </w:rPr>
        <w:t xml:space="preserve">Chapter E: Institutional Approval and Review of a Partner, as defined by </w:t>
      </w:r>
      <w:r w:rsidR="004400E2" w:rsidRPr="004400E2">
        <w:rPr>
          <w:rStyle w:val="eop"/>
          <w:rFonts w:cs="Arial"/>
          <w:b/>
          <w:bCs/>
        </w:rPr>
        <w:t>t</w:t>
      </w:r>
      <w:r w:rsidR="004C63E2" w:rsidRPr="004400E2">
        <w:rPr>
          <w:rStyle w:val="eop"/>
          <w:rFonts w:cs="Arial"/>
          <w:b/>
          <w:bCs/>
        </w:rPr>
        <w:t>ypolog</w:t>
      </w:r>
      <w:r w:rsidR="004400E2" w:rsidRPr="004400E2">
        <w:rPr>
          <w:rStyle w:val="eop"/>
          <w:rFonts w:cs="Arial"/>
          <w:b/>
          <w:bCs/>
        </w:rPr>
        <w:t>y</w:t>
      </w:r>
      <w:r w:rsidR="004C63E2" w:rsidRPr="004C63E2">
        <w:rPr>
          <w:rStyle w:val="eop"/>
          <w:rFonts w:cs="Arial"/>
        </w:rPr>
        <w:t xml:space="preserve">, is particularly relevant to partners of the University, including Employer Partners.  </w:t>
      </w:r>
    </w:p>
    <w:p w14:paraId="45F3DC70" w14:textId="77777777" w:rsidR="0041683C" w:rsidRPr="001F0002" w:rsidRDefault="0041683C" w:rsidP="00DC3A8B">
      <w:pPr>
        <w:ind w:left="720"/>
        <w:rPr>
          <w:rFonts w:cs="Arial"/>
          <w:szCs w:val="24"/>
        </w:rPr>
      </w:pPr>
    </w:p>
    <w:p w14:paraId="29B0F1AA" w14:textId="7B5295BF" w:rsidR="000831B5" w:rsidRPr="000831B5" w:rsidRDefault="007E7D42" w:rsidP="002C620B">
      <w:pPr>
        <w:pStyle w:val="Heading1"/>
        <w:numPr>
          <w:ilvl w:val="0"/>
          <w:numId w:val="22"/>
        </w:numPr>
        <w:spacing w:before="0" w:after="0" w:line="240" w:lineRule="auto"/>
        <w:ind w:hanging="720"/>
      </w:pPr>
      <w:r w:rsidRPr="007E7D42">
        <w:t>CLOSING OF PARTNERSHIPS AND COURSES</w:t>
      </w:r>
    </w:p>
    <w:p w14:paraId="38DB9F08" w14:textId="77777777" w:rsidR="00726EBC" w:rsidRDefault="00726EBC" w:rsidP="00DC3A8B">
      <w:pPr>
        <w:ind w:left="720"/>
      </w:pPr>
    </w:p>
    <w:p w14:paraId="3B66B5F5" w14:textId="3CB85C99" w:rsidR="002002D1" w:rsidRDefault="00F073D1" w:rsidP="00DC3A8B">
      <w:pPr>
        <w:ind w:left="720"/>
      </w:pPr>
      <w:r>
        <w:t>When</w:t>
      </w:r>
      <w:r w:rsidR="0087150C">
        <w:t xml:space="preserve"> a</w:t>
      </w:r>
      <w:r w:rsidR="00827598">
        <w:t xml:space="preserve">n agreement has been reached between the University and a Partner to formally close </w:t>
      </w:r>
      <w:r w:rsidR="00FB751F">
        <w:t>a</w:t>
      </w:r>
      <w:r w:rsidR="0087150C">
        <w:t xml:space="preserve"> partnership </w:t>
      </w:r>
      <w:r w:rsidR="00827598">
        <w:t>and/</w:t>
      </w:r>
      <w:r w:rsidR="0095264A">
        <w:t xml:space="preserve">or </w:t>
      </w:r>
      <w:r w:rsidR="00827598">
        <w:t xml:space="preserve">a </w:t>
      </w:r>
      <w:r w:rsidR="0095264A">
        <w:t>course</w:t>
      </w:r>
      <w:r w:rsidR="00827598">
        <w:t>(s)</w:t>
      </w:r>
      <w:r w:rsidR="002002D1">
        <w:t xml:space="preserve">, </w:t>
      </w:r>
      <w:r w:rsidR="00827598">
        <w:t xml:space="preserve">the procedure </w:t>
      </w:r>
      <w:r w:rsidR="000A7AFB">
        <w:t xml:space="preserve">In </w:t>
      </w:r>
      <w:r w:rsidR="000A7AFB" w:rsidRPr="004400E2">
        <w:rPr>
          <w:b/>
          <w:bCs/>
          <w:color w:val="FF0000"/>
        </w:rPr>
        <w:t>Appendix 1</w:t>
      </w:r>
      <w:r w:rsidR="000A7AFB" w:rsidRPr="004400E2">
        <w:rPr>
          <w:color w:val="FF0000"/>
        </w:rPr>
        <w:t xml:space="preserve"> </w:t>
      </w:r>
      <w:r w:rsidR="00BE785E">
        <w:t xml:space="preserve">details </w:t>
      </w:r>
      <w:r w:rsidR="002002D1">
        <w:lastRenderedPageBreak/>
        <w:t>the University</w:t>
      </w:r>
      <w:r w:rsidR="00BE785E">
        <w:t>’s</w:t>
      </w:r>
      <w:r w:rsidR="002002D1">
        <w:t xml:space="preserve"> </w:t>
      </w:r>
      <w:r w:rsidR="00FB751F">
        <w:t>T</w:t>
      </w:r>
      <w:r w:rsidR="002002D1">
        <w:t>each-</w:t>
      </w:r>
      <w:r w:rsidR="00FB751F">
        <w:t>O</w:t>
      </w:r>
      <w:r w:rsidR="002002D1">
        <w:t xml:space="preserve">ut </w:t>
      </w:r>
      <w:r w:rsidR="00FB751F">
        <w:t>p</w:t>
      </w:r>
      <w:r w:rsidR="002002D1">
        <w:t>rocess</w:t>
      </w:r>
      <w:r>
        <w:t xml:space="preserve">.  The primary </w:t>
      </w:r>
      <w:r w:rsidR="00633EDC">
        <w:t xml:space="preserve">aim </w:t>
      </w:r>
      <w:r w:rsidR="002002D1">
        <w:t xml:space="preserve">is to support students enrolled on a </w:t>
      </w:r>
      <w:r>
        <w:t xml:space="preserve">University </w:t>
      </w:r>
      <w:r w:rsidR="002002D1">
        <w:t>course to complete their studies.</w:t>
      </w:r>
      <w:r w:rsidR="00534BBB">
        <w:t xml:space="preserve"> </w:t>
      </w:r>
    </w:p>
    <w:p w14:paraId="522C3BF3" w14:textId="77777777" w:rsidR="0041683C" w:rsidRDefault="0041683C" w:rsidP="00DC3A8B">
      <w:pPr>
        <w:ind w:left="720"/>
      </w:pPr>
    </w:p>
    <w:p w14:paraId="1A4FDED2" w14:textId="78651B14" w:rsidR="009C0404" w:rsidRDefault="0087150C" w:rsidP="00DC3A8B">
      <w:pPr>
        <w:ind w:left="720"/>
      </w:pPr>
      <w:r>
        <w:t xml:space="preserve">The reasons </w:t>
      </w:r>
      <w:r w:rsidR="00705B55">
        <w:t xml:space="preserve">for </w:t>
      </w:r>
      <w:r w:rsidR="004973E1">
        <w:t>a</w:t>
      </w:r>
      <w:r w:rsidR="00705B55">
        <w:t xml:space="preserve"> </w:t>
      </w:r>
      <w:r>
        <w:t xml:space="preserve">partnership </w:t>
      </w:r>
      <w:r w:rsidR="004973E1">
        <w:t>ending</w:t>
      </w:r>
      <w:r>
        <w:t xml:space="preserve"> may vary</w:t>
      </w:r>
      <w:r w:rsidR="004973E1">
        <w:t>; for</w:t>
      </w:r>
      <w:r w:rsidR="00705B55">
        <w:t xml:space="preserve"> example,</w:t>
      </w:r>
      <w:r w:rsidR="00740DA9">
        <w:t xml:space="preserve"> the partnership agreement </w:t>
      </w:r>
      <w:r w:rsidR="00705B55">
        <w:t xml:space="preserve">may not </w:t>
      </w:r>
      <w:r w:rsidR="00740DA9">
        <w:t>be renewed, a change of priorities, or circumstances that require the termination of the agreement</w:t>
      </w:r>
      <w:r w:rsidR="00705B55">
        <w:t>.</w:t>
      </w:r>
      <w:r w:rsidR="00740DA9">
        <w:t xml:space="preserve"> </w:t>
      </w:r>
      <w:r w:rsidR="004400E2">
        <w:t xml:space="preserve"> </w:t>
      </w:r>
      <w:r w:rsidR="00705B55">
        <w:t>F</w:t>
      </w:r>
      <w:r w:rsidR="00740DA9">
        <w:t xml:space="preserve">urther information </w:t>
      </w:r>
      <w:r w:rsidR="00705B55">
        <w:t xml:space="preserve">about the closing or </w:t>
      </w:r>
      <w:r w:rsidR="004973E1">
        <w:t>ending</w:t>
      </w:r>
      <w:r w:rsidR="00705B55">
        <w:t xml:space="preserve"> </w:t>
      </w:r>
      <w:r w:rsidR="002F3978">
        <w:t xml:space="preserve">of </w:t>
      </w:r>
      <w:r w:rsidR="006B004B">
        <w:t xml:space="preserve">a </w:t>
      </w:r>
      <w:r w:rsidR="00705B55">
        <w:t xml:space="preserve">partnership </w:t>
      </w:r>
      <w:r w:rsidR="00740DA9">
        <w:t xml:space="preserve">can be found in the </w:t>
      </w:r>
      <w:r w:rsidR="00F8465A" w:rsidRPr="0015610F">
        <w:t>CCP</w:t>
      </w:r>
      <w:r w:rsidR="00F8465A">
        <w:t xml:space="preserve"> </w:t>
      </w:r>
      <w:r w:rsidR="002F3978">
        <w:t xml:space="preserve">or by contacting the University’s Legal and Governance Services </w:t>
      </w:r>
      <w:r w:rsidR="000B1F8B">
        <w:t>Department.</w:t>
      </w:r>
    </w:p>
    <w:p w14:paraId="6A4C2DD6" w14:textId="77777777" w:rsidR="0041683C" w:rsidRDefault="0041683C" w:rsidP="00DC3A8B">
      <w:pPr>
        <w:ind w:left="720"/>
      </w:pPr>
    </w:p>
    <w:p w14:paraId="7EEED94D" w14:textId="163F9869" w:rsidR="002F3978" w:rsidRDefault="007E09D1" w:rsidP="00DC3A8B">
      <w:pPr>
        <w:ind w:left="720"/>
      </w:pPr>
      <w:r>
        <w:t>The</w:t>
      </w:r>
      <w:r w:rsidRPr="007E09D1">
        <w:t xml:space="preserve"> University will </w:t>
      </w:r>
      <w:r w:rsidR="00F073D1">
        <w:t>normally</w:t>
      </w:r>
      <w:r w:rsidRPr="007E09D1">
        <w:t xml:space="preserve"> seek to continue a </w:t>
      </w:r>
      <w:r>
        <w:t>p</w:t>
      </w:r>
      <w:r w:rsidRPr="007E09D1">
        <w:t xml:space="preserve">artnership until </w:t>
      </w:r>
      <w:r>
        <w:t xml:space="preserve">all </w:t>
      </w:r>
      <w:r w:rsidRPr="007E09D1">
        <w:t xml:space="preserve">enrolled students have completed their course.  Where this is not possible, the University will implement </w:t>
      </w:r>
      <w:r w:rsidR="002D2400">
        <w:t>appropriate</w:t>
      </w:r>
      <w:r w:rsidRPr="007E09D1">
        <w:t xml:space="preserve"> mitigating actions </w:t>
      </w:r>
      <w:r>
        <w:t xml:space="preserve">outlined in its </w:t>
      </w:r>
      <w:r w:rsidR="003D51F3" w:rsidRPr="003D51F3">
        <w:t xml:space="preserve">Student Protection Plan. </w:t>
      </w:r>
    </w:p>
    <w:p w14:paraId="23599B16" w14:textId="77777777" w:rsidR="0041683C" w:rsidRDefault="0041683C" w:rsidP="00DC3A8B">
      <w:pPr>
        <w:ind w:left="720"/>
      </w:pPr>
    </w:p>
    <w:p w14:paraId="63506046" w14:textId="224D3594" w:rsidR="007E09D1" w:rsidRDefault="002F3978" w:rsidP="0041683C">
      <w:pPr>
        <w:ind w:left="720"/>
      </w:pPr>
      <w:r>
        <w:t xml:space="preserve">The </w:t>
      </w:r>
      <w:r w:rsidR="00A944E0">
        <w:t>T</w:t>
      </w:r>
      <w:r>
        <w:t>each-</w:t>
      </w:r>
      <w:r w:rsidR="00A944E0">
        <w:t>O</w:t>
      </w:r>
      <w:r>
        <w:t xml:space="preserve">ut process may vary depending on the partnership, for example, the number of students enrolled, the typology of courses, and if the </w:t>
      </w:r>
      <w:r w:rsidR="004400E2">
        <w:t>P</w:t>
      </w:r>
      <w:r>
        <w:t>artner is an employer, a UK partner through the Teesside University Collaborative Partnership, or a TNE Partner.</w:t>
      </w:r>
    </w:p>
    <w:p w14:paraId="4D95B21D" w14:textId="77777777" w:rsidR="0041683C" w:rsidRDefault="0041683C" w:rsidP="0041683C">
      <w:pPr>
        <w:ind w:left="720"/>
      </w:pPr>
    </w:p>
    <w:p w14:paraId="6F66F685" w14:textId="242D1CC0" w:rsidR="007E09D1" w:rsidRPr="007E09D1" w:rsidRDefault="00B1414D" w:rsidP="002C620B">
      <w:pPr>
        <w:pStyle w:val="Heading1"/>
        <w:numPr>
          <w:ilvl w:val="0"/>
          <w:numId w:val="22"/>
        </w:numPr>
        <w:spacing w:before="0" w:after="0" w:line="240" w:lineRule="auto"/>
        <w:ind w:hanging="720"/>
      </w:pPr>
      <w:r w:rsidRPr="007E09D1">
        <w:t>TEACH-OUT PROCESS</w:t>
      </w:r>
    </w:p>
    <w:p w14:paraId="61520F98" w14:textId="77777777" w:rsidR="0041683C" w:rsidRPr="0041683C" w:rsidRDefault="0041683C" w:rsidP="0041683C">
      <w:pPr>
        <w:pStyle w:val="ListParagraph"/>
      </w:pPr>
    </w:p>
    <w:p w14:paraId="2952FF01" w14:textId="4B5951CD" w:rsidR="002002D1" w:rsidRDefault="002002D1" w:rsidP="00DC3A8B">
      <w:pPr>
        <w:ind w:left="720"/>
      </w:pPr>
      <w:r w:rsidRPr="002002D1">
        <w:t xml:space="preserve">The </w:t>
      </w:r>
      <w:r w:rsidR="00155FA9">
        <w:t>T</w:t>
      </w:r>
      <w:r w:rsidRPr="002002D1">
        <w:t>each-</w:t>
      </w:r>
      <w:r w:rsidR="00155FA9">
        <w:t>O</w:t>
      </w:r>
      <w:r w:rsidRPr="002002D1">
        <w:t xml:space="preserve">ut process </w:t>
      </w:r>
      <w:r w:rsidR="002D2400">
        <w:t>ensures</w:t>
      </w:r>
      <w:r w:rsidRPr="002002D1">
        <w:t xml:space="preserve"> </w:t>
      </w:r>
      <w:r w:rsidR="006B004B" w:rsidRPr="006B004B">
        <w:t>enrolled students can finish their studies and receive the necessary support and resources</w:t>
      </w:r>
      <w:r w:rsidRPr="002002D1">
        <w:t xml:space="preserve">. </w:t>
      </w:r>
      <w:r w:rsidR="00F11856">
        <w:t>T</w:t>
      </w:r>
      <w:r w:rsidR="009A5FE6">
        <w:t xml:space="preserve">he </w:t>
      </w:r>
      <w:r w:rsidR="00F11856">
        <w:t xml:space="preserve">standard </w:t>
      </w:r>
      <w:r w:rsidR="0041025E">
        <w:t>T</w:t>
      </w:r>
      <w:r w:rsidRPr="002002D1">
        <w:t>each-</w:t>
      </w:r>
      <w:r w:rsidR="0041025E">
        <w:t>O</w:t>
      </w:r>
      <w:r w:rsidRPr="002002D1">
        <w:t>ut process</w:t>
      </w:r>
      <w:r w:rsidR="00006A17">
        <w:t xml:space="preserve"> can be found in </w:t>
      </w:r>
      <w:r w:rsidR="00006A17" w:rsidRPr="004400E2">
        <w:rPr>
          <w:b/>
          <w:bCs/>
          <w:color w:val="FF0000"/>
        </w:rPr>
        <w:t>Appendix 1</w:t>
      </w:r>
      <w:r w:rsidR="00006A17" w:rsidRPr="00BF38BF">
        <w:rPr>
          <w:b/>
          <w:bCs/>
        </w:rPr>
        <w:t>, Teach</w:t>
      </w:r>
      <w:r w:rsidR="00F11856">
        <w:rPr>
          <w:b/>
          <w:bCs/>
        </w:rPr>
        <w:t>-</w:t>
      </w:r>
      <w:r w:rsidR="00956426">
        <w:rPr>
          <w:b/>
          <w:bCs/>
        </w:rPr>
        <w:t>O</w:t>
      </w:r>
      <w:r w:rsidR="00006A17" w:rsidRPr="00BF38BF">
        <w:rPr>
          <w:b/>
          <w:bCs/>
        </w:rPr>
        <w:t xml:space="preserve">ut </w:t>
      </w:r>
      <w:r w:rsidR="00956426">
        <w:rPr>
          <w:b/>
          <w:bCs/>
        </w:rPr>
        <w:t>Process</w:t>
      </w:r>
      <w:r w:rsidRPr="002002D1">
        <w:t>:</w:t>
      </w:r>
    </w:p>
    <w:p w14:paraId="159F4F2D" w14:textId="77777777" w:rsidR="0008744D" w:rsidRDefault="0008744D" w:rsidP="00DC3A8B"/>
    <w:p w14:paraId="61D1233E" w14:textId="77777777" w:rsidR="0041683C" w:rsidRDefault="0041683C" w:rsidP="00DC3A8B"/>
    <w:p w14:paraId="1D7AB91A" w14:textId="754B38DB" w:rsidR="0008744D" w:rsidRDefault="0008744D" w:rsidP="00DC3A8B">
      <w:pPr>
        <w:sectPr w:rsidR="0008744D" w:rsidSect="002C620B">
          <w:footerReference w:type="default" r:id="rId17"/>
          <w:pgSz w:w="11906" w:h="16838" w:code="9"/>
          <w:pgMar w:top="1440" w:right="1276" w:bottom="1440" w:left="851" w:header="709" w:footer="709" w:gutter="0"/>
          <w:pgNumType w:start="1"/>
          <w:cols w:space="708"/>
          <w:docGrid w:linePitch="360"/>
        </w:sectPr>
      </w:pPr>
    </w:p>
    <w:p w14:paraId="1EDEBC38" w14:textId="6310CC64" w:rsidR="00BD7F08" w:rsidRDefault="00813F89" w:rsidP="00DC3A8B">
      <w:pPr>
        <w:rPr>
          <w:b/>
          <w:bCs/>
        </w:rPr>
      </w:pPr>
      <w:r w:rsidRPr="00875996">
        <w:rPr>
          <w:b/>
          <w:bCs/>
        </w:rPr>
        <w:lastRenderedPageBreak/>
        <w:t xml:space="preserve">Appendix </w:t>
      </w:r>
      <w:r w:rsidR="00277597" w:rsidRPr="00875996">
        <w:rPr>
          <w:b/>
          <w:bCs/>
        </w:rPr>
        <w:t xml:space="preserve">1: </w:t>
      </w:r>
      <w:r w:rsidR="0008744D" w:rsidRPr="00875996">
        <w:rPr>
          <w:b/>
          <w:bCs/>
        </w:rPr>
        <w:t>Teach-</w:t>
      </w:r>
      <w:r w:rsidR="00956426">
        <w:rPr>
          <w:b/>
          <w:bCs/>
        </w:rPr>
        <w:t>O</w:t>
      </w:r>
      <w:r w:rsidR="0008744D" w:rsidRPr="00875996">
        <w:rPr>
          <w:b/>
          <w:bCs/>
        </w:rPr>
        <w:t xml:space="preserve">ut </w:t>
      </w:r>
      <w:r w:rsidR="00956426">
        <w:rPr>
          <w:b/>
          <w:bCs/>
        </w:rPr>
        <w:t>Process</w:t>
      </w:r>
    </w:p>
    <w:p w14:paraId="167E0F78" w14:textId="77777777" w:rsidR="000F39F3" w:rsidRPr="00875996" w:rsidRDefault="000F39F3" w:rsidP="00DC3A8B">
      <w:pPr>
        <w:rPr>
          <w:b/>
          <w:bCs/>
        </w:rPr>
      </w:pPr>
    </w:p>
    <w:tbl>
      <w:tblPr>
        <w:tblStyle w:val="TableGrid"/>
        <w:tblW w:w="14459" w:type="dxa"/>
        <w:tblInd w:w="-152" w:type="dxa"/>
        <w:tblLook w:val="04A0" w:firstRow="1" w:lastRow="0" w:firstColumn="1" w:lastColumn="0" w:noHBand="0" w:noVBand="1"/>
        <w:tblCaption w:val="Teach-out Matrix"/>
      </w:tblPr>
      <w:tblGrid>
        <w:gridCol w:w="2415"/>
        <w:gridCol w:w="2977"/>
        <w:gridCol w:w="2126"/>
        <w:gridCol w:w="6941"/>
      </w:tblGrid>
      <w:tr w:rsidR="009F16F3" w14:paraId="5DDFBE37" w14:textId="77777777" w:rsidTr="0015610F">
        <w:trPr>
          <w:tblHeader/>
        </w:trPr>
        <w:tc>
          <w:tcPr>
            <w:tcW w:w="2415" w:type="dxa"/>
            <w:tcBorders>
              <w:top w:val="single" w:sz="4" w:space="0" w:color="auto"/>
            </w:tcBorders>
            <w:shd w:val="clear" w:color="auto" w:fill="BFBFBF" w:themeFill="background1" w:themeFillShade="BF"/>
          </w:tcPr>
          <w:p w14:paraId="5CC9FDD4" w14:textId="77777777" w:rsidR="009F16F3" w:rsidRPr="0015610F" w:rsidRDefault="009F16F3" w:rsidP="00DC3A8B">
            <w:pPr>
              <w:jc w:val="center"/>
              <w:rPr>
                <w:b/>
                <w:bCs/>
              </w:rPr>
            </w:pPr>
            <w:bookmarkStart w:id="0" w:name="_Hlk135307569"/>
            <w:r w:rsidRPr="0015610F">
              <w:rPr>
                <w:b/>
                <w:bCs/>
              </w:rPr>
              <w:t>Step</w:t>
            </w:r>
          </w:p>
        </w:tc>
        <w:tc>
          <w:tcPr>
            <w:tcW w:w="2977" w:type="dxa"/>
            <w:tcBorders>
              <w:top w:val="single" w:sz="4" w:space="0" w:color="auto"/>
            </w:tcBorders>
            <w:shd w:val="clear" w:color="auto" w:fill="BFBFBF" w:themeFill="background1" w:themeFillShade="BF"/>
          </w:tcPr>
          <w:p w14:paraId="4C1BA6A6" w14:textId="77777777" w:rsidR="009F16F3" w:rsidRPr="0015610F" w:rsidRDefault="009F16F3" w:rsidP="00DC3A8B">
            <w:pPr>
              <w:jc w:val="center"/>
              <w:rPr>
                <w:b/>
                <w:bCs/>
              </w:rPr>
            </w:pPr>
            <w:r w:rsidRPr="0015610F">
              <w:rPr>
                <w:b/>
                <w:bCs/>
              </w:rPr>
              <w:t>Summary</w:t>
            </w:r>
          </w:p>
        </w:tc>
        <w:tc>
          <w:tcPr>
            <w:tcW w:w="2126" w:type="dxa"/>
            <w:tcBorders>
              <w:top w:val="single" w:sz="4" w:space="0" w:color="auto"/>
            </w:tcBorders>
            <w:shd w:val="clear" w:color="auto" w:fill="BFBFBF" w:themeFill="background1" w:themeFillShade="BF"/>
          </w:tcPr>
          <w:p w14:paraId="5BD51913" w14:textId="77777777" w:rsidR="009F16F3" w:rsidRPr="0015610F" w:rsidRDefault="009F16F3" w:rsidP="00DC3A8B">
            <w:pPr>
              <w:jc w:val="center"/>
              <w:rPr>
                <w:b/>
                <w:bCs/>
              </w:rPr>
            </w:pPr>
            <w:r w:rsidRPr="0015610F">
              <w:rPr>
                <w:b/>
                <w:bCs/>
              </w:rPr>
              <w:t>Lead</w:t>
            </w:r>
          </w:p>
        </w:tc>
        <w:tc>
          <w:tcPr>
            <w:tcW w:w="6941" w:type="dxa"/>
            <w:tcBorders>
              <w:top w:val="single" w:sz="4" w:space="0" w:color="auto"/>
            </w:tcBorders>
            <w:shd w:val="clear" w:color="auto" w:fill="BFBFBF" w:themeFill="background1" w:themeFillShade="BF"/>
          </w:tcPr>
          <w:p w14:paraId="192FE7E3" w14:textId="77777777" w:rsidR="009F16F3" w:rsidRPr="0015610F" w:rsidRDefault="009F16F3" w:rsidP="00DC3A8B">
            <w:pPr>
              <w:jc w:val="center"/>
              <w:rPr>
                <w:b/>
                <w:bCs/>
              </w:rPr>
            </w:pPr>
            <w:r w:rsidRPr="0015610F">
              <w:rPr>
                <w:b/>
                <w:bCs/>
              </w:rPr>
              <w:t>Roles and Responsibilities</w:t>
            </w:r>
          </w:p>
        </w:tc>
      </w:tr>
      <w:tr w:rsidR="009F16F3" w14:paraId="62FBA18D" w14:textId="77777777">
        <w:tc>
          <w:tcPr>
            <w:tcW w:w="2415" w:type="dxa"/>
            <w:tcBorders>
              <w:top w:val="single" w:sz="4" w:space="0" w:color="auto"/>
            </w:tcBorders>
            <w:shd w:val="clear" w:color="auto" w:fill="auto"/>
          </w:tcPr>
          <w:p w14:paraId="6B911A25" w14:textId="50918835" w:rsidR="009F16F3" w:rsidRDefault="009F16F3" w:rsidP="000F39F3">
            <w:pPr>
              <w:pStyle w:val="ListParagraph"/>
              <w:numPr>
                <w:ilvl w:val="0"/>
                <w:numId w:val="23"/>
              </w:numPr>
            </w:pPr>
            <w:r>
              <w:t xml:space="preserve">Instigation of the closure of a </w:t>
            </w:r>
            <w:r w:rsidR="006D6077">
              <w:t>p</w:t>
            </w:r>
            <w:r>
              <w:t>artnership</w:t>
            </w:r>
            <w:r w:rsidR="00920ABD">
              <w:t xml:space="preserve"> or course</w:t>
            </w:r>
            <w:r w:rsidR="009969CE">
              <w:t>(s)</w:t>
            </w:r>
            <w:r w:rsidR="006D6077">
              <w:t>.</w:t>
            </w:r>
          </w:p>
        </w:tc>
        <w:tc>
          <w:tcPr>
            <w:tcW w:w="2977" w:type="dxa"/>
            <w:tcBorders>
              <w:top w:val="single" w:sz="4" w:space="0" w:color="auto"/>
            </w:tcBorders>
            <w:shd w:val="clear" w:color="auto" w:fill="auto"/>
          </w:tcPr>
          <w:p w14:paraId="7C74F88C" w14:textId="25F911CC" w:rsidR="009F16F3" w:rsidRDefault="009753E5" w:rsidP="00DC3A8B">
            <w:r w:rsidRPr="009753E5">
              <w:t xml:space="preserve">The Associate Dean (International, L&amp;T, or EKE) with the most involvement with the </w:t>
            </w:r>
            <w:r w:rsidR="004400E2">
              <w:t>P</w:t>
            </w:r>
            <w:r w:rsidRPr="009753E5">
              <w:t>artner will normally lead on the closure of the partnership or course(s).</w:t>
            </w:r>
          </w:p>
          <w:p w14:paraId="38A4F94C" w14:textId="594C54EA" w:rsidR="00D0060A" w:rsidRDefault="00D0060A" w:rsidP="00DC3A8B">
            <w:r>
              <w:t>For the purposes of thi</w:t>
            </w:r>
            <w:r w:rsidR="00EE1555">
              <w:t>s Appendix, they will subsequently be referred to as the “Lead Associate Dean”</w:t>
            </w:r>
            <w:r w:rsidR="00E3571F">
              <w:t xml:space="preserve"> In some cases, </w:t>
            </w:r>
            <w:r w:rsidR="00E504C6">
              <w:t xml:space="preserve">for example, where there is more than one school involved, </w:t>
            </w:r>
            <w:r w:rsidR="00E3571F">
              <w:t xml:space="preserve">the Pro Vice-Chancellor (International, L&amp;T or EKE) may play a more active role, working with the Lead Associate Dean. </w:t>
            </w:r>
          </w:p>
        </w:tc>
        <w:tc>
          <w:tcPr>
            <w:tcW w:w="2126" w:type="dxa"/>
            <w:tcBorders>
              <w:top w:val="single" w:sz="4" w:space="0" w:color="auto"/>
            </w:tcBorders>
            <w:shd w:val="clear" w:color="auto" w:fill="auto"/>
          </w:tcPr>
          <w:p w14:paraId="2BFCBC31" w14:textId="5F2C908E" w:rsidR="009F16F3" w:rsidRDefault="00DA582E" w:rsidP="00DC3A8B">
            <w:r>
              <w:t xml:space="preserve">Lead </w:t>
            </w:r>
            <w:r w:rsidR="009F16F3">
              <w:t>Associate Dean</w:t>
            </w:r>
          </w:p>
        </w:tc>
        <w:tc>
          <w:tcPr>
            <w:tcW w:w="6941" w:type="dxa"/>
            <w:tcBorders>
              <w:top w:val="single" w:sz="4" w:space="0" w:color="auto"/>
            </w:tcBorders>
            <w:shd w:val="clear" w:color="auto" w:fill="auto"/>
          </w:tcPr>
          <w:p w14:paraId="1BE7EEDD" w14:textId="3A1C1982" w:rsidR="00805305" w:rsidRDefault="00EC4148" w:rsidP="00DC3A8B">
            <w:pPr>
              <w:pStyle w:val="ListParagraph"/>
              <w:numPr>
                <w:ilvl w:val="0"/>
                <w:numId w:val="9"/>
              </w:numPr>
              <w:ind w:left="323" w:hanging="284"/>
            </w:pPr>
            <w:bookmarkStart w:id="1" w:name="_Hlk143616261"/>
            <w:r>
              <w:t xml:space="preserve">The </w:t>
            </w:r>
            <w:r w:rsidR="00726EBC">
              <w:t xml:space="preserve">Lead </w:t>
            </w:r>
            <w:r>
              <w:t>Associate Dean</w:t>
            </w:r>
            <w:r w:rsidR="00E504C6">
              <w:t xml:space="preserve"> </w:t>
            </w:r>
            <w:r>
              <w:t xml:space="preserve">will </w:t>
            </w:r>
            <w:r w:rsidR="009753E5">
              <w:t xml:space="preserve">normally </w:t>
            </w:r>
            <w:r>
              <w:t>lead on the closure of the partnership or course(s)</w:t>
            </w:r>
            <w:r w:rsidR="004B366F">
              <w:t xml:space="preserve">. </w:t>
            </w:r>
            <w:r w:rsidR="000077C3">
              <w:t xml:space="preserve"> </w:t>
            </w:r>
            <w:r w:rsidR="00805305">
              <w:t>Including:</w:t>
            </w:r>
          </w:p>
          <w:p w14:paraId="2FDDC221" w14:textId="02A4EE01" w:rsidR="008137B9" w:rsidRDefault="00194C36" w:rsidP="00DC3A8B">
            <w:pPr>
              <w:pStyle w:val="ListParagraph"/>
              <w:numPr>
                <w:ilvl w:val="1"/>
                <w:numId w:val="9"/>
              </w:numPr>
              <w:ind w:left="745" w:hanging="425"/>
            </w:pPr>
            <w:r>
              <w:t xml:space="preserve">Seeking </w:t>
            </w:r>
            <w:r w:rsidR="000B1F8B">
              <w:t xml:space="preserve">an </w:t>
            </w:r>
            <w:r>
              <w:t>a</w:t>
            </w:r>
            <w:r w:rsidR="003335F5">
              <w:t>gree</w:t>
            </w:r>
            <w:r w:rsidR="00EC4148">
              <w:t>ment from t</w:t>
            </w:r>
            <w:r w:rsidR="00C446C1">
              <w:t>he University Executive Team</w:t>
            </w:r>
            <w:r w:rsidR="002F7F41">
              <w:t xml:space="preserve"> </w:t>
            </w:r>
            <w:r w:rsidR="00D930BD">
              <w:t xml:space="preserve">for </w:t>
            </w:r>
            <w:r w:rsidR="002F7F41">
              <w:t xml:space="preserve">the closure of </w:t>
            </w:r>
            <w:r w:rsidR="004D5896">
              <w:t xml:space="preserve">a </w:t>
            </w:r>
            <w:r w:rsidR="000E1BDE">
              <w:t>p</w:t>
            </w:r>
            <w:r w:rsidR="004D5896">
              <w:t>artnership or course</w:t>
            </w:r>
            <w:r w:rsidR="00D930BD">
              <w:t>(s).</w:t>
            </w:r>
          </w:p>
          <w:p w14:paraId="6D19DBF6" w14:textId="10626951" w:rsidR="0019722C" w:rsidRDefault="00574AF6" w:rsidP="00DC3A8B">
            <w:pPr>
              <w:pStyle w:val="ListParagraph"/>
              <w:numPr>
                <w:ilvl w:val="1"/>
                <w:numId w:val="9"/>
              </w:numPr>
              <w:ind w:left="745" w:hanging="425"/>
            </w:pPr>
            <w:r>
              <w:t xml:space="preserve">Consultation with the </w:t>
            </w:r>
            <w:r w:rsidR="00985F73">
              <w:t xml:space="preserve">Director of Student Learning </w:t>
            </w:r>
            <w:r w:rsidR="000077C3">
              <w:t>&amp;</w:t>
            </w:r>
            <w:r w:rsidR="00985F73">
              <w:t xml:space="preserve"> </w:t>
            </w:r>
            <w:r w:rsidR="00D23946">
              <w:t>Academic</w:t>
            </w:r>
            <w:r w:rsidR="00985F73">
              <w:t xml:space="preserve"> Registry</w:t>
            </w:r>
            <w:r w:rsidR="00456257">
              <w:t xml:space="preserve"> (SLAR)</w:t>
            </w:r>
            <w:r w:rsidR="000119ED">
              <w:t xml:space="preserve">, </w:t>
            </w:r>
            <w:r w:rsidR="009F16F3">
              <w:t xml:space="preserve">the Director of </w:t>
            </w:r>
            <w:r w:rsidR="009F16F3" w:rsidRPr="00E7664F">
              <w:t>International Development</w:t>
            </w:r>
            <w:r w:rsidR="000E1BDE">
              <w:t>,</w:t>
            </w:r>
            <w:r w:rsidR="009F16F3">
              <w:t xml:space="preserve"> or </w:t>
            </w:r>
            <w:r w:rsidR="00D930BD">
              <w:t xml:space="preserve">the </w:t>
            </w:r>
            <w:r w:rsidR="009F16F3">
              <w:t>Head of Business Innovation</w:t>
            </w:r>
            <w:r w:rsidR="000445F3">
              <w:t>.</w:t>
            </w:r>
          </w:p>
          <w:p w14:paraId="19CC66A4" w14:textId="0526DFD4" w:rsidR="009F16F3" w:rsidRDefault="00B37488" w:rsidP="00B37488">
            <w:pPr>
              <w:pStyle w:val="ListParagraph"/>
              <w:numPr>
                <w:ilvl w:val="1"/>
                <w:numId w:val="9"/>
              </w:numPr>
              <w:ind w:left="741" w:hanging="425"/>
            </w:pPr>
            <w:r>
              <w:t xml:space="preserve">Consultation with </w:t>
            </w:r>
            <w:r w:rsidR="009F16F3">
              <w:t xml:space="preserve">Legal and Governance Services </w:t>
            </w:r>
            <w:r w:rsidR="006F1AFB">
              <w:t xml:space="preserve">regarding </w:t>
            </w:r>
            <w:r w:rsidR="00D53547">
              <w:t>the</w:t>
            </w:r>
            <w:r w:rsidR="00237A45">
              <w:t xml:space="preserve"> </w:t>
            </w:r>
            <w:r w:rsidR="009F16F3">
              <w:t>issu</w:t>
            </w:r>
            <w:r w:rsidR="00D53547">
              <w:t>ing of</w:t>
            </w:r>
            <w:r w:rsidR="009F16F3">
              <w:t xml:space="preserve"> a </w:t>
            </w:r>
            <w:r w:rsidR="009F16F3" w:rsidRPr="007D785F">
              <w:rPr>
                <w:b/>
                <w:bCs/>
              </w:rPr>
              <w:t>Notice of Termination</w:t>
            </w:r>
            <w:r w:rsidR="009F16F3">
              <w:t xml:space="preserve"> to the </w:t>
            </w:r>
            <w:r w:rsidR="004400E2">
              <w:t>P</w:t>
            </w:r>
            <w:r w:rsidR="009F16F3">
              <w:t xml:space="preserve">artner.  </w:t>
            </w:r>
          </w:p>
          <w:bookmarkEnd w:id="1"/>
          <w:p w14:paraId="43104A35" w14:textId="7B3023CD" w:rsidR="009F16F3" w:rsidRDefault="009F16F3" w:rsidP="00B37488"/>
        </w:tc>
      </w:tr>
      <w:tr w:rsidR="009F16F3" w14:paraId="5606D7CD" w14:textId="77777777">
        <w:tc>
          <w:tcPr>
            <w:tcW w:w="2415" w:type="dxa"/>
          </w:tcPr>
          <w:p w14:paraId="6A71974E" w14:textId="67FA3C8D" w:rsidR="009F16F3" w:rsidRDefault="009F16F3" w:rsidP="000F39F3">
            <w:pPr>
              <w:pStyle w:val="ListParagraph"/>
              <w:numPr>
                <w:ilvl w:val="0"/>
                <w:numId w:val="23"/>
              </w:numPr>
            </w:pPr>
            <w:r w:rsidRPr="0020614D">
              <w:t>Notice of Termination</w:t>
            </w:r>
          </w:p>
        </w:tc>
        <w:tc>
          <w:tcPr>
            <w:tcW w:w="2977" w:type="dxa"/>
          </w:tcPr>
          <w:p w14:paraId="22C6798F" w14:textId="0D4BCFBE" w:rsidR="009F16F3" w:rsidRDefault="009F16F3" w:rsidP="00DC3A8B">
            <w:r w:rsidRPr="0020614D">
              <w:t>The University</w:t>
            </w:r>
            <w:r w:rsidR="00603EDE">
              <w:t>’s</w:t>
            </w:r>
            <w:r w:rsidRPr="0020614D">
              <w:t xml:space="preserve"> </w:t>
            </w:r>
            <w:r>
              <w:t xml:space="preserve">Legal and Governance Services </w:t>
            </w:r>
            <w:r w:rsidR="00603EDE">
              <w:t xml:space="preserve">Department </w:t>
            </w:r>
            <w:r w:rsidRPr="0020614D">
              <w:t>will write to the Partner</w:t>
            </w:r>
            <w:r>
              <w:t>,</w:t>
            </w:r>
            <w:r w:rsidRPr="0020614D">
              <w:t xml:space="preserve"> providing notice that the Agreement will be terminated</w:t>
            </w:r>
            <w:r>
              <w:t>.</w:t>
            </w:r>
          </w:p>
        </w:tc>
        <w:tc>
          <w:tcPr>
            <w:tcW w:w="2126" w:type="dxa"/>
          </w:tcPr>
          <w:p w14:paraId="33321DD8" w14:textId="77777777" w:rsidR="009F16F3" w:rsidRDefault="009F16F3" w:rsidP="00DC3A8B">
            <w:r>
              <w:t>Legal and Governance Services</w:t>
            </w:r>
          </w:p>
        </w:tc>
        <w:tc>
          <w:tcPr>
            <w:tcW w:w="6941" w:type="dxa"/>
          </w:tcPr>
          <w:p w14:paraId="24AFB878" w14:textId="6DA68916" w:rsidR="009F16F3" w:rsidRDefault="009F16F3" w:rsidP="000077C3">
            <w:pPr>
              <w:pStyle w:val="ListParagraph"/>
              <w:numPr>
                <w:ilvl w:val="0"/>
                <w:numId w:val="24"/>
              </w:numPr>
            </w:pPr>
            <w:r>
              <w:t>Legal and Governance Services</w:t>
            </w:r>
            <w:r w:rsidR="00B37488">
              <w:t xml:space="preserve"> </w:t>
            </w:r>
            <w:r>
              <w:t xml:space="preserve">will issue a </w:t>
            </w:r>
            <w:r w:rsidR="004E4DB5">
              <w:t>“</w:t>
            </w:r>
            <w:r>
              <w:t>Notice of Termination</w:t>
            </w:r>
            <w:r w:rsidR="004E4DB5">
              <w:t>”</w:t>
            </w:r>
            <w:r>
              <w:t xml:space="preserve"> to the Partner.</w:t>
            </w:r>
          </w:p>
          <w:p w14:paraId="5231BC27" w14:textId="5E6E92F4" w:rsidR="00D53547" w:rsidRDefault="00B37488" w:rsidP="000077C3">
            <w:pPr>
              <w:pStyle w:val="ListParagraph"/>
              <w:numPr>
                <w:ilvl w:val="0"/>
                <w:numId w:val="24"/>
              </w:numPr>
            </w:pPr>
            <w:r>
              <w:t xml:space="preserve">The Notice of Termination should normally be instigated before </w:t>
            </w:r>
            <w:r w:rsidRPr="007D785F">
              <w:rPr>
                <w:b/>
                <w:bCs/>
              </w:rPr>
              <w:t>30 September</w:t>
            </w:r>
            <w:r>
              <w:t xml:space="preserve"> in a given academic year</w:t>
            </w:r>
            <w:r w:rsidR="00C9053D">
              <w:t>, or 12 months for courses that do not follow a standard academic year</w:t>
            </w:r>
            <w:r>
              <w:t xml:space="preserve">. </w:t>
            </w:r>
          </w:p>
          <w:p w14:paraId="044494A3" w14:textId="2B32E18E" w:rsidR="009F16F3" w:rsidRDefault="00811736" w:rsidP="000077C3">
            <w:pPr>
              <w:pStyle w:val="ListParagraph"/>
              <w:numPr>
                <w:ilvl w:val="0"/>
                <w:numId w:val="24"/>
              </w:numPr>
            </w:pPr>
            <w:r w:rsidRPr="00811736">
              <w:t xml:space="preserve">Legal and Governance Services will, </w:t>
            </w:r>
            <w:r w:rsidR="00177D76">
              <w:t xml:space="preserve">in line with regulatory guidance, </w:t>
            </w:r>
            <w:r w:rsidR="0026546A">
              <w:t xml:space="preserve">notify </w:t>
            </w:r>
            <w:r w:rsidRPr="00811736">
              <w:t xml:space="preserve">the Office for Students (OfS) </w:t>
            </w:r>
            <w:r w:rsidR="0026546A">
              <w:t>as appropriate.</w:t>
            </w:r>
          </w:p>
        </w:tc>
      </w:tr>
      <w:tr w:rsidR="009F16F3" w14:paraId="5655F2D5" w14:textId="77777777">
        <w:tc>
          <w:tcPr>
            <w:tcW w:w="2415" w:type="dxa"/>
          </w:tcPr>
          <w:p w14:paraId="5F91C237" w14:textId="5524A60C" w:rsidR="009F16F3" w:rsidRDefault="009F16F3" w:rsidP="000F39F3">
            <w:pPr>
              <w:pStyle w:val="ListParagraph"/>
              <w:numPr>
                <w:ilvl w:val="0"/>
                <w:numId w:val="23"/>
              </w:numPr>
            </w:pPr>
            <w:r>
              <w:lastRenderedPageBreak/>
              <w:t>Announcement and Communication</w:t>
            </w:r>
          </w:p>
        </w:tc>
        <w:tc>
          <w:tcPr>
            <w:tcW w:w="2977" w:type="dxa"/>
          </w:tcPr>
          <w:p w14:paraId="75D4A3A6" w14:textId="6540C9E3" w:rsidR="009F16F3" w:rsidRDefault="002D1CB3" w:rsidP="00DC3A8B">
            <w:r w:rsidRPr="002D1CB3">
              <w:t>The School</w:t>
            </w:r>
            <w:r w:rsidR="00592A93">
              <w:t>(s)</w:t>
            </w:r>
            <w:r w:rsidRPr="002D1CB3">
              <w:t xml:space="preserve"> and the </w:t>
            </w:r>
            <w:r w:rsidR="004400E2">
              <w:t>P</w:t>
            </w:r>
            <w:r w:rsidRPr="002D1CB3">
              <w:t>artner</w:t>
            </w:r>
            <w:r w:rsidR="00C9053D">
              <w:t>, where possible,</w:t>
            </w:r>
            <w:r w:rsidRPr="002D1CB3">
              <w:t xml:space="preserve"> will jointly make an official announcement to inform students and staff about the decision to end the partnership</w:t>
            </w:r>
            <w:r w:rsidR="000077C3">
              <w:t>.</w:t>
            </w:r>
          </w:p>
        </w:tc>
        <w:tc>
          <w:tcPr>
            <w:tcW w:w="2126" w:type="dxa"/>
          </w:tcPr>
          <w:p w14:paraId="7997182E" w14:textId="0BFB2449" w:rsidR="009F16F3" w:rsidRDefault="00726EBC" w:rsidP="00DC3A8B">
            <w:r>
              <w:t xml:space="preserve">Lead </w:t>
            </w:r>
            <w:r w:rsidR="009718C2" w:rsidRPr="009718C2">
              <w:t>Associate Dean</w:t>
            </w:r>
            <w:r>
              <w:t xml:space="preserve">, </w:t>
            </w:r>
            <w:r w:rsidR="004F7D65">
              <w:t>School</w:t>
            </w:r>
            <w:r w:rsidR="00592A93">
              <w:t>(s)</w:t>
            </w:r>
            <w:r w:rsidR="00A01163">
              <w:t xml:space="preserve"> and </w:t>
            </w:r>
            <w:r w:rsidR="007E0444">
              <w:t>the Partner</w:t>
            </w:r>
          </w:p>
        </w:tc>
        <w:tc>
          <w:tcPr>
            <w:tcW w:w="6941" w:type="dxa"/>
          </w:tcPr>
          <w:p w14:paraId="4E48B509" w14:textId="09994D78" w:rsidR="009F16F3" w:rsidRDefault="00C31363" w:rsidP="00DC3A8B">
            <w:pPr>
              <w:pStyle w:val="ListParagraph"/>
              <w:numPr>
                <w:ilvl w:val="0"/>
                <w:numId w:val="4"/>
              </w:numPr>
              <w:ind w:left="309" w:hanging="283"/>
            </w:pPr>
            <w:r>
              <w:t>Once</w:t>
            </w:r>
            <w:r w:rsidR="00661F29">
              <w:t xml:space="preserve"> the Notice of Termination has been issued</w:t>
            </w:r>
            <w:r w:rsidR="00FB72EB">
              <w:t xml:space="preserve">. </w:t>
            </w:r>
            <w:r w:rsidR="000077C3">
              <w:t xml:space="preserve"> </w:t>
            </w:r>
            <w:r w:rsidR="00FB72EB" w:rsidRPr="00FB72EB">
              <w:t xml:space="preserve">The </w:t>
            </w:r>
            <w:r w:rsidR="00726EBC">
              <w:t xml:space="preserve">Lead </w:t>
            </w:r>
            <w:r w:rsidR="00FB72EB" w:rsidRPr="00FB72EB">
              <w:t xml:space="preserve">Associate Dean </w:t>
            </w:r>
            <w:r w:rsidR="00FB72EB">
              <w:t xml:space="preserve">will </w:t>
            </w:r>
            <w:r w:rsidR="003077E6">
              <w:t>ensure</w:t>
            </w:r>
            <w:r w:rsidR="00C9053D">
              <w:t>, where possible,</w:t>
            </w:r>
            <w:r w:rsidR="003077E6">
              <w:t xml:space="preserve"> that</w:t>
            </w:r>
            <w:r w:rsidR="00FB72EB" w:rsidRPr="00FB72EB">
              <w:t xml:space="preserve"> </w:t>
            </w:r>
            <w:r w:rsidR="00932BEC">
              <w:t>the</w:t>
            </w:r>
            <w:r w:rsidR="00560458" w:rsidRPr="00560458">
              <w:t xml:space="preserve"> School</w:t>
            </w:r>
            <w:r w:rsidR="003077E6">
              <w:t>(s)</w:t>
            </w:r>
            <w:r w:rsidR="00560458" w:rsidRPr="00560458">
              <w:t xml:space="preserve"> and the </w:t>
            </w:r>
            <w:r w:rsidR="004400E2">
              <w:t>P</w:t>
            </w:r>
            <w:r w:rsidR="00560458" w:rsidRPr="00560458">
              <w:t xml:space="preserve">artner jointly make an official announcement to inform students and staff about the decision to end the partnership, along with information on the timeline, reasons, and implications </w:t>
            </w:r>
            <w:r w:rsidR="00A84A26">
              <w:t>for students</w:t>
            </w:r>
            <w:r w:rsidR="00560458" w:rsidRPr="00560458">
              <w:t>.</w:t>
            </w:r>
          </w:p>
        </w:tc>
      </w:tr>
      <w:tr w:rsidR="001917D6" w14:paraId="118777D5" w14:textId="77777777">
        <w:tc>
          <w:tcPr>
            <w:tcW w:w="2415" w:type="dxa"/>
          </w:tcPr>
          <w:p w14:paraId="06DA7A49" w14:textId="76E77989" w:rsidR="001917D6" w:rsidRDefault="001917D6" w:rsidP="000F39F3">
            <w:pPr>
              <w:pStyle w:val="ListParagraph"/>
              <w:numPr>
                <w:ilvl w:val="0"/>
                <w:numId w:val="23"/>
              </w:numPr>
            </w:pPr>
            <w:r>
              <w:t>Teach-Out Team</w:t>
            </w:r>
          </w:p>
        </w:tc>
        <w:tc>
          <w:tcPr>
            <w:tcW w:w="2977" w:type="dxa"/>
          </w:tcPr>
          <w:p w14:paraId="0691EC7C" w14:textId="23429E0B" w:rsidR="001917D6" w:rsidRPr="005468BC" w:rsidRDefault="001917D6" w:rsidP="00DC3A8B">
            <w:r w:rsidRPr="001917D6">
              <w:t xml:space="preserve">The </w:t>
            </w:r>
            <w:r w:rsidR="00726EBC">
              <w:t xml:space="preserve">Lead </w:t>
            </w:r>
            <w:r w:rsidRPr="001917D6">
              <w:t xml:space="preserve">Associate Dean </w:t>
            </w:r>
            <w:r w:rsidR="00D93136">
              <w:t xml:space="preserve">will establish a </w:t>
            </w:r>
            <w:r>
              <w:t xml:space="preserve">Teach-Out </w:t>
            </w:r>
            <w:r w:rsidR="00D93136">
              <w:t xml:space="preserve">Team which will </w:t>
            </w:r>
            <w:r w:rsidR="0056000A">
              <w:t>oversee the Teach</w:t>
            </w:r>
            <w:r w:rsidR="00726EBC">
              <w:t>-Out</w:t>
            </w:r>
            <w:r w:rsidR="0056000A">
              <w:t xml:space="preserve"> P</w:t>
            </w:r>
            <w:r w:rsidRPr="007F6576">
              <w:t>rocess.</w:t>
            </w:r>
            <w:r w:rsidR="002161AC">
              <w:t xml:space="preserve"> </w:t>
            </w:r>
            <w:r w:rsidR="000077C3">
              <w:t xml:space="preserve"> </w:t>
            </w:r>
            <w:r w:rsidR="002161AC">
              <w:t xml:space="preserve">This will include a School Operational Lead, who will be responsible at a </w:t>
            </w:r>
            <w:r w:rsidR="00B37E15">
              <w:t>S</w:t>
            </w:r>
            <w:r w:rsidR="002161AC">
              <w:t>chool level for operational ma</w:t>
            </w:r>
            <w:r w:rsidR="00BC3C2D">
              <w:t>tters.</w:t>
            </w:r>
          </w:p>
        </w:tc>
        <w:tc>
          <w:tcPr>
            <w:tcW w:w="2126" w:type="dxa"/>
          </w:tcPr>
          <w:p w14:paraId="2729F9BC" w14:textId="3970F066" w:rsidR="001917D6" w:rsidRDefault="00726EBC" w:rsidP="00DC3A8B">
            <w:r>
              <w:t xml:space="preserve">Lead </w:t>
            </w:r>
            <w:r w:rsidR="00927724" w:rsidRPr="00927724">
              <w:t xml:space="preserve">Associate Dean </w:t>
            </w:r>
          </w:p>
        </w:tc>
        <w:tc>
          <w:tcPr>
            <w:tcW w:w="6941" w:type="dxa"/>
          </w:tcPr>
          <w:p w14:paraId="3BD846EA" w14:textId="4E070642" w:rsidR="001917D6" w:rsidRDefault="001917D6" w:rsidP="00DC3A8B">
            <w:pPr>
              <w:pStyle w:val="ListParagraph"/>
              <w:numPr>
                <w:ilvl w:val="0"/>
                <w:numId w:val="4"/>
              </w:numPr>
              <w:ind w:left="309" w:hanging="283"/>
            </w:pPr>
            <w:r>
              <w:t xml:space="preserve">The </w:t>
            </w:r>
            <w:r w:rsidR="00726EBC">
              <w:t xml:space="preserve">Lead </w:t>
            </w:r>
            <w:r w:rsidR="00927724" w:rsidRPr="00927724">
              <w:t xml:space="preserve">Associate Dean </w:t>
            </w:r>
            <w:r>
              <w:t>will establish a Teach-Out Team to develop a Teach-</w:t>
            </w:r>
            <w:r w:rsidR="00C37CE9">
              <w:t xml:space="preserve">Out </w:t>
            </w:r>
            <w:r>
              <w:t>Plan and provide oversight of the process.  The Teach-Out Team will meet at regular intervals (typically</w:t>
            </w:r>
            <w:r w:rsidDel="00BA2C5F">
              <w:t xml:space="preserve"> </w:t>
            </w:r>
            <w:r>
              <w:t>every two months) and will normally include representatives from both institutions, as follows:</w:t>
            </w:r>
          </w:p>
          <w:p w14:paraId="73254F08" w14:textId="7A1B1D19" w:rsidR="001917D6" w:rsidRDefault="001917D6" w:rsidP="000077C3">
            <w:pPr>
              <w:pStyle w:val="ListParagraph"/>
              <w:numPr>
                <w:ilvl w:val="1"/>
                <w:numId w:val="4"/>
              </w:numPr>
              <w:ind w:left="796" w:hanging="450"/>
            </w:pPr>
            <w:r>
              <w:t xml:space="preserve">Chair </w:t>
            </w:r>
            <w:r w:rsidR="00726EBC">
              <w:t>–</w:t>
            </w:r>
            <w:r>
              <w:t xml:space="preserve"> </w:t>
            </w:r>
            <w:r w:rsidR="00726EBC">
              <w:t xml:space="preserve">Lead </w:t>
            </w:r>
            <w:r>
              <w:t>Associate Dean</w:t>
            </w:r>
          </w:p>
          <w:p w14:paraId="2E964A9B" w14:textId="573B4E67" w:rsidR="005569E3" w:rsidRDefault="005569E3" w:rsidP="000077C3">
            <w:pPr>
              <w:pStyle w:val="ListParagraph"/>
              <w:numPr>
                <w:ilvl w:val="1"/>
                <w:numId w:val="4"/>
              </w:numPr>
              <w:ind w:left="796" w:hanging="450"/>
            </w:pPr>
            <w:r>
              <w:t>School Operational Lead</w:t>
            </w:r>
            <w:r w:rsidR="006550FA">
              <w:t>(s)</w:t>
            </w:r>
            <w:r w:rsidR="00037A55">
              <w:t xml:space="preserve"> </w:t>
            </w:r>
          </w:p>
          <w:p w14:paraId="7955CAE8" w14:textId="56EF1F72" w:rsidR="001917D6" w:rsidRDefault="001917D6" w:rsidP="000077C3">
            <w:pPr>
              <w:pStyle w:val="ListParagraph"/>
              <w:numPr>
                <w:ilvl w:val="1"/>
                <w:numId w:val="4"/>
              </w:numPr>
              <w:ind w:left="796" w:hanging="450"/>
            </w:pPr>
            <w:r>
              <w:t xml:space="preserve">Relevant Link Tutor(s) </w:t>
            </w:r>
          </w:p>
          <w:p w14:paraId="6B5620C9" w14:textId="77777777" w:rsidR="001917D6" w:rsidRDefault="001917D6" w:rsidP="000077C3">
            <w:pPr>
              <w:pStyle w:val="ListParagraph"/>
              <w:numPr>
                <w:ilvl w:val="1"/>
                <w:numId w:val="4"/>
              </w:numPr>
              <w:ind w:left="796" w:hanging="450"/>
            </w:pPr>
            <w:r>
              <w:t>School Registrar(s) (or nominee)</w:t>
            </w:r>
          </w:p>
          <w:p w14:paraId="6234BE9F" w14:textId="1D091189" w:rsidR="001917D6" w:rsidRDefault="001917D6" w:rsidP="000077C3">
            <w:pPr>
              <w:pStyle w:val="ListParagraph"/>
              <w:numPr>
                <w:ilvl w:val="1"/>
                <w:numId w:val="4"/>
              </w:numPr>
              <w:ind w:left="796" w:hanging="450"/>
            </w:pPr>
            <w:r>
              <w:t>Quality Manager (QAV) SLAR</w:t>
            </w:r>
          </w:p>
          <w:p w14:paraId="1C81C07E" w14:textId="77777777" w:rsidR="001917D6" w:rsidRDefault="001917D6" w:rsidP="000077C3">
            <w:pPr>
              <w:pStyle w:val="ListParagraph"/>
              <w:numPr>
                <w:ilvl w:val="1"/>
                <w:numId w:val="4"/>
              </w:numPr>
              <w:ind w:left="796" w:hanging="450"/>
            </w:pPr>
            <w:r>
              <w:t>Partnership and Project Manager (ACD) SLAR (International partners only)</w:t>
            </w:r>
          </w:p>
          <w:p w14:paraId="38C25660" w14:textId="77777777" w:rsidR="001917D6" w:rsidRDefault="001917D6" w:rsidP="000077C3">
            <w:pPr>
              <w:pStyle w:val="ListParagraph"/>
              <w:numPr>
                <w:ilvl w:val="1"/>
                <w:numId w:val="4"/>
              </w:numPr>
              <w:ind w:left="796" w:hanging="450"/>
            </w:pPr>
            <w:r>
              <w:t>An Administrative Officer from the Lead School</w:t>
            </w:r>
          </w:p>
          <w:p w14:paraId="127867FC" w14:textId="77777777" w:rsidR="001917D6" w:rsidRDefault="001917D6" w:rsidP="000077C3">
            <w:pPr>
              <w:pStyle w:val="ListParagraph"/>
              <w:numPr>
                <w:ilvl w:val="1"/>
                <w:numId w:val="4"/>
              </w:numPr>
              <w:ind w:left="796" w:hanging="450"/>
            </w:pPr>
            <w:r>
              <w:t xml:space="preserve">Representative(s) from the Partner   </w:t>
            </w:r>
          </w:p>
          <w:p w14:paraId="105E6CFA" w14:textId="7D384775" w:rsidR="00E92117" w:rsidRDefault="001917D6" w:rsidP="00DC3A8B">
            <w:pPr>
              <w:pStyle w:val="ListParagraph"/>
              <w:numPr>
                <w:ilvl w:val="0"/>
                <w:numId w:val="4"/>
              </w:numPr>
              <w:ind w:left="309" w:hanging="283"/>
            </w:pPr>
            <w:r>
              <w:t xml:space="preserve">In addition, the Teach-Out Team may </w:t>
            </w:r>
            <w:r w:rsidRPr="00962ACC">
              <w:t xml:space="preserve">co-opt additional </w:t>
            </w:r>
            <w:r>
              <w:t>m</w:t>
            </w:r>
            <w:r w:rsidRPr="00962ACC">
              <w:t xml:space="preserve">embers as necessary to </w:t>
            </w:r>
            <w:r>
              <w:t xml:space="preserve">provide professional expertise at different points of the </w:t>
            </w:r>
            <w:r w:rsidR="007E074E">
              <w:t>process</w:t>
            </w:r>
            <w:r>
              <w:t xml:space="preserve">. </w:t>
            </w:r>
          </w:p>
        </w:tc>
      </w:tr>
      <w:tr w:rsidR="001917D6" w14:paraId="3065B8C5" w14:textId="77777777">
        <w:tc>
          <w:tcPr>
            <w:tcW w:w="2415" w:type="dxa"/>
          </w:tcPr>
          <w:p w14:paraId="3BACB97F" w14:textId="732F9D79" w:rsidR="001917D6" w:rsidRDefault="001917D6" w:rsidP="000F39F3">
            <w:pPr>
              <w:pStyle w:val="ListParagraph"/>
              <w:numPr>
                <w:ilvl w:val="0"/>
                <w:numId w:val="23"/>
              </w:numPr>
            </w:pPr>
            <w:r w:rsidRPr="00D8059A">
              <w:t>Student</w:t>
            </w:r>
            <w:r>
              <w:t xml:space="preserve"> Engagement and </w:t>
            </w:r>
            <w:r w:rsidRPr="00D8059A">
              <w:t>Consultation</w:t>
            </w:r>
          </w:p>
        </w:tc>
        <w:tc>
          <w:tcPr>
            <w:tcW w:w="2977" w:type="dxa"/>
          </w:tcPr>
          <w:p w14:paraId="6C550909" w14:textId="387247DE" w:rsidR="001917D6" w:rsidRPr="002D1CB3" w:rsidRDefault="001917D6" w:rsidP="00DC3A8B">
            <w:r w:rsidRPr="005468BC">
              <w:t xml:space="preserve">The </w:t>
            </w:r>
            <w:r>
              <w:t>School</w:t>
            </w:r>
            <w:r w:rsidRPr="005468BC">
              <w:t xml:space="preserve"> </w:t>
            </w:r>
            <w:r w:rsidR="00DD34CC">
              <w:t>Operation</w:t>
            </w:r>
            <w:r w:rsidR="00BA04C8">
              <w:t>al</w:t>
            </w:r>
            <w:r w:rsidR="00DD34CC">
              <w:t xml:space="preserve"> Lead</w:t>
            </w:r>
            <w:r w:rsidR="006550FA">
              <w:t>(s)</w:t>
            </w:r>
            <w:r w:rsidR="00DD34CC">
              <w:t xml:space="preserve"> </w:t>
            </w:r>
            <w:r w:rsidRPr="005468BC">
              <w:t xml:space="preserve">will </w:t>
            </w:r>
            <w:r>
              <w:t>ensure there is</w:t>
            </w:r>
            <w:r w:rsidRPr="005468BC">
              <w:t xml:space="preserve"> </w:t>
            </w:r>
            <w:r>
              <w:t xml:space="preserve">timely and effective </w:t>
            </w:r>
            <w:r w:rsidRPr="005468BC">
              <w:t>communicat</w:t>
            </w:r>
            <w:r>
              <w:t>ion</w:t>
            </w:r>
            <w:r w:rsidRPr="005468BC">
              <w:t xml:space="preserve"> with </w:t>
            </w:r>
            <w:r>
              <w:t xml:space="preserve">affected </w:t>
            </w:r>
            <w:r w:rsidRPr="005468BC">
              <w:t>students</w:t>
            </w:r>
            <w:r w:rsidR="000077C3">
              <w:t>.</w:t>
            </w:r>
          </w:p>
        </w:tc>
        <w:tc>
          <w:tcPr>
            <w:tcW w:w="2126" w:type="dxa"/>
          </w:tcPr>
          <w:p w14:paraId="15489E8D" w14:textId="16484823" w:rsidR="001917D6" w:rsidRDefault="001917D6" w:rsidP="00DC3A8B">
            <w:r>
              <w:t>The School</w:t>
            </w:r>
            <w:r w:rsidR="006550FA">
              <w:t xml:space="preserve"> </w:t>
            </w:r>
            <w:r w:rsidR="00BA04C8">
              <w:t>Operational Lead</w:t>
            </w:r>
            <w:r w:rsidR="006550FA">
              <w:t>(s)</w:t>
            </w:r>
          </w:p>
        </w:tc>
        <w:tc>
          <w:tcPr>
            <w:tcW w:w="6941" w:type="dxa"/>
          </w:tcPr>
          <w:p w14:paraId="5F527E8C" w14:textId="7010BB85" w:rsidR="00BE526C" w:rsidRDefault="001917D6" w:rsidP="00DC3A8B">
            <w:pPr>
              <w:pStyle w:val="ListParagraph"/>
              <w:numPr>
                <w:ilvl w:val="0"/>
                <w:numId w:val="4"/>
              </w:numPr>
              <w:ind w:left="309" w:hanging="283"/>
            </w:pPr>
            <w:r>
              <w:t>The School</w:t>
            </w:r>
            <w:r w:rsidR="00BA04C8">
              <w:t xml:space="preserve"> Operational Lead</w:t>
            </w:r>
            <w:r w:rsidR="006550FA">
              <w:t>(s)</w:t>
            </w:r>
            <w:r w:rsidR="00BA04C8">
              <w:t xml:space="preserve"> </w:t>
            </w:r>
            <w:r>
              <w:t>will</w:t>
            </w:r>
            <w:r w:rsidR="00BE526C">
              <w:t>:</w:t>
            </w:r>
          </w:p>
          <w:p w14:paraId="0C37E58D" w14:textId="2758C490" w:rsidR="001917D6" w:rsidRDefault="001917D6" w:rsidP="000077C3">
            <w:pPr>
              <w:pStyle w:val="ListParagraph"/>
              <w:numPr>
                <w:ilvl w:val="1"/>
                <w:numId w:val="4"/>
              </w:numPr>
              <w:ind w:left="796" w:hanging="480"/>
            </w:pPr>
            <w:r>
              <w:t xml:space="preserve">identify students who are enrolled with the </w:t>
            </w:r>
            <w:r w:rsidR="004400E2">
              <w:t>P</w:t>
            </w:r>
            <w:r>
              <w:t>artner and on the University Systems (Report VAL0001)</w:t>
            </w:r>
          </w:p>
          <w:p w14:paraId="576E1AC1" w14:textId="562B72F3" w:rsidR="001917D6" w:rsidRDefault="001917D6" w:rsidP="000077C3">
            <w:pPr>
              <w:pStyle w:val="ListParagraph"/>
              <w:numPr>
                <w:ilvl w:val="1"/>
                <w:numId w:val="4"/>
              </w:numPr>
              <w:ind w:left="796" w:hanging="480"/>
            </w:pPr>
            <w:r>
              <w:t>ensure there is engagement with students to understand their individual circumstances, academic progress, and preferences (engagement may include meetings, group discussions, and surveys conducted to gather feedback and address concerns).</w:t>
            </w:r>
          </w:p>
          <w:p w14:paraId="1DF73980" w14:textId="3CE718BF" w:rsidR="001917D6" w:rsidRPr="00560458" w:rsidRDefault="001917D6" w:rsidP="000077C3">
            <w:pPr>
              <w:pStyle w:val="ListParagraph"/>
              <w:numPr>
                <w:ilvl w:val="1"/>
                <w:numId w:val="4"/>
              </w:numPr>
              <w:ind w:left="796" w:hanging="480"/>
            </w:pPr>
            <w:r>
              <w:lastRenderedPageBreak/>
              <w:t>provide information to the Teach-Out Team to inform the development of a Teach-Out Plan.</w:t>
            </w:r>
          </w:p>
        </w:tc>
      </w:tr>
      <w:tr w:rsidR="001917D6" w14:paraId="261EFE6B" w14:textId="77777777">
        <w:tc>
          <w:tcPr>
            <w:tcW w:w="2415" w:type="dxa"/>
          </w:tcPr>
          <w:p w14:paraId="5F8EEF6B" w14:textId="60FC8D51" w:rsidR="001917D6" w:rsidRDefault="001917D6" w:rsidP="000F39F3">
            <w:pPr>
              <w:pStyle w:val="ListParagraph"/>
              <w:numPr>
                <w:ilvl w:val="0"/>
                <w:numId w:val="23"/>
              </w:numPr>
            </w:pPr>
            <w:r w:rsidRPr="000D6FE3">
              <w:lastRenderedPageBreak/>
              <w:t xml:space="preserve">Teach-out Plan: </w:t>
            </w:r>
          </w:p>
          <w:p w14:paraId="0983C107" w14:textId="77777777" w:rsidR="001917D6" w:rsidRDefault="001917D6" w:rsidP="00DC3A8B"/>
        </w:tc>
        <w:tc>
          <w:tcPr>
            <w:tcW w:w="2977" w:type="dxa"/>
          </w:tcPr>
          <w:p w14:paraId="1E90E543" w14:textId="7E797B8F" w:rsidR="001917D6" w:rsidRDefault="001917D6" w:rsidP="00DC3A8B">
            <w:r>
              <w:t>The</w:t>
            </w:r>
            <w:r w:rsidRPr="000D6FE3">
              <w:t xml:space="preserve"> </w:t>
            </w:r>
            <w:r>
              <w:t>T</w:t>
            </w:r>
            <w:r w:rsidRPr="000D6FE3">
              <w:t>each-</w:t>
            </w:r>
            <w:r>
              <w:t>O</w:t>
            </w:r>
            <w:r w:rsidRPr="000D6FE3">
              <w:t xml:space="preserve">ut </w:t>
            </w:r>
            <w:r>
              <w:t>P</w:t>
            </w:r>
            <w:r w:rsidRPr="000D6FE3">
              <w:t>lan will be developed, outlin</w:t>
            </w:r>
            <w:r>
              <w:t>ing</w:t>
            </w:r>
            <w:r w:rsidRPr="000D6FE3">
              <w:t xml:space="preserve"> how the remaining modules or courses will be delivere</w:t>
            </w:r>
            <w:r>
              <w:t>d.</w:t>
            </w:r>
          </w:p>
        </w:tc>
        <w:tc>
          <w:tcPr>
            <w:tcW w:w="2126" w:type="dxa"/>
          </w:tcPr>
          <w:p w14:paraId="37B80C43" w14:textId="3E36F98F" w:rsidR="001917D6" w:rsidRDefault="001917D6" w:rsidP="00DC3A8B">
            <w:r>
              <w:t xml:space="preserve">The Teach-Out Team </w:t>
            </w:r>
          </w:p>
        </w:tc>
        <w:tc>
          <w:tcPr>
            <w:tcW w:w="6941" w:type="dxa"/>
          </w:tcPr>
          <w:p w14:paraId="2ABB46C6" w14:textId="23FDD733" w:rsidR="001917D6" w:rsidRDefault="001917D6" w:rsidP="00DC3A8B">
            <w:pPr>
              <w:pStyle w:val="ListParagraph"/>
              <w:numPr>
                <w:ilvl w:val="0"/>
                <w:numId w:val="4"/>
              </w:numPr>
              <w:ind w:left="309" w:hanging="283"/>
            </w:pPr>
            <w:r>
              <w:t>The Teach-Out Team will develop a Teach-Out Plan in agreement with the Partner based on student feedback and academic considerations for the School(s) to implement.</w:t>
            </w:r>
          </w:p>
          <w:p w14:paraId="6D96EB00" w14:textId="12A0042B" w:rsidR="001917D6" w:rsidRDefault="001917D6" w:rsidP="00DC3A8B">
            <w:pPr>
              <w:pStyle w:val="ListParagraph"/>
              <w:numPr>
                <w:ilvl w:val="0"/>
                <w:numId w:val="4"/>
              </w:numPr>
              <w:ind w:left="309" w:hanging="283"/>
            </w:pPr>
            <w:r>
              <w:t>The Teach-Out Plan will identify the remaining modules or courses that students need to complete to achieve their qualification or award and will specify any necessary curriculum adjustments, alternative course offerings, and academic support mechanisms.</w:t>
            </w:r>
          </w:p>
          <w:p w14:paraId="51C24D5E" w14:textId="3E3D6353" w:rsidR="001917D6" w:rsidRDefault="001917D6" w:rsidP="00DC3A8B">
            <w:pPr>
              <w:pStyle w:val="ListParagraph"/>
              <w:numPr>
                <w:ilvl w:val="0"/>
                <w:numId w:val="4"/>
              </w:numPr>
              <w:ind w:left="309" w:hanging="283"/>
            </w:pPr>
            <w:r>
              <w:t xml:space="preserve">The terms of the CCP will </w:t>
            </w:r>
            <w:r w:rsidRPr="0058478B">
              <w:t xml:space="preserve">continue to apply with full force and effect to the delivery of the </w:t>
            </w:r>
            <w:r>
              <w:t>courses</w:t>
            </w:r>
            <w:r w:rsidRPr="0058478B">
              <w:t xml:space="preserve"> during the </w:t>
            </w:r>
            <w:r>
              <w:t>Teach-Out</w:t>
            </w:r>
            <w:r w:rsidRPr="0058478B">
              <w:t xml:space="preserve"> Period unless otherwise agreed in writing between the </w:t>
            </w:r>
            <w:r>
              <w:t>University and the Partner.</w:t>
            </w:r>
          </w:p>
        </w:tc>
      </w:tr>
      <w:tr w:rsidR="001917D6" w14:paraId="2AC50521" w14:textId="77777777">
        <w:tc>
          <w:tcPr>
            <w:tcW w:w="2415" w:type="dxa"/>
          </w:tcPr>
          <w:p w14:paraId="0E131E99" w14:textId="51D9415D" w:rsidR="001917D6" w:rsidRDefault="001917D6" w:rsidP="000F39F3">
            <w:pPr>
              <w:pStyle w:val="ListParagraph"/>
              <w:numPr>
                <w:ilvl w:val="0"/>
                <w:numId w:val="23"/>
              </w:numPr>
            </w:pPr>
            <w:r w:rsidRPr="00135B0C">
              <w:t>Student Transfer O</w:t>
            </w:r>
            <w:r>
              <w:t>ptions</w:t>
            </w:r>
          </w:p>
        </w:tc>
        <w:tc>
          <w:tcPr>
            <w:tcW w:w="2977" w:type="dxa"/>
          </w:tcPr>
          <w:p w14:paraId="0E899140" w14:textId="08EAB90A" w:rsidR="001917D6" w:rsidRDefault="001917D6" w:rsidP="00DC3A8B">
            <w:r>
              <w:t xml:space="preserve">Explore viable opportunities for students to transfer to other courses at the University or </w:t>
            </w:r>
            <w:r w:rsidR="00524135">
              <w:t xml:space="preserve">other </w:t>
            </w:r>
            <w:r>
              <w:t>providers.</w:t>
            </w:r>
          </w:p>
        </w:tc>
        <w:tc>
          <w:tcPr>
            <w:tcW w:w="2126" w:type="dxa"/>
          </w:tcPr>
          <w:p w14:paraId="4E960A88" w14:textId="30F0DE2B" w:rsidR="001917D6" w:rsidRDefault="001917D6" w:rsidP="00DC3A8B">
            <w:r>
              <w:t>The Teach-Out Team</w:t>
            </w:r>
          </w:p>
        </w:tc>
        <w:tc>
          <w:tcPr>
            <w:tcW w:w="6941" w:type="dxa"/>
          </w:tcPr>
          <w:p w14:paraId="56483278" w14:textId="468C8607" w:rsidR="001917D6" w:rsidRDefault="001917D6" w:rsidP="00DC3A8B">
            <w:pPr>
              <w:pStyle w:val="ListParagraph"/>
              <w:numPr>
                <w:ilvl w:val="0"/>
                <w:numId w:val="4"/>
              </w:numPr>
              <w:ind w:left="309" w:hanging="283"/>
            </w:pPr>
            <w:r w:rsidRPr="00B5178B">
              <w:t xml:space="preserve">As defined in the University Student Transfer Policy, the Teach-Out Team may explore opportunities for students to transfer to alternative courses or institutions to complete their studies. </w:t>
            </w:r>
            <w:r w:rsidR="000077C3">
              <w:t xml:space="preserve"> </w:t>
            </w:r>
            <w:r w:rsidRPr="00B5178B">
              <w:t xml:space="preserve">If viable transfer options exist, the </w:t>
            </w:r>
            <w:r>
              <w:t>T</w:t>
            </w:r>
            <w:r w:rsidRPr="00B5178B">
              <w:t>each-</w:t>
            </w:r>
            <w:r>
              <w:t>O</w:t>
            </w:r>
            <w:r w:rsidRPr="00B5178B">
              <w:t xml:space="preserve">ut </w:t>
            </w:r>
            <w:r>
              <w:t>T</w:t>
            </w:r>
            <w:r w:rsidRPr="00B5178B">
              <w:t xml:space="preserve">eam will provide guidance to facilitate the transition for interested students. </w:t>
            </w:r>
            <w:r w:rsidR="000077C3">
              <w:t xml:space="preserve"> </w:t>
            </w:r>
            <w:r>
              <w:t xml:space="preserve">The Student Transfer Policy can be found in the </w:t>
            </w:r>
            <w:hyperlink r:id="rId18" w:history="1">
              <w:r w:rsidRPr="000077C3">
                <w:rPr>
                  <w:rStyle w:val="Hyperlink"/>
                  <w:b/>
                  <w:bCs/>
                  <w:color w:val="0070C0"/>
                  <w:u w:val="none"/>
                </w:rPr>
                <w:t>Student Handbook</w:t>
              </w:r>
            </w:hyperlink>
            <w:r w:rsidRPr="00F32893">
              <w:rPr>
                <w:b/>
                <w:bCs/>
              </w:rPr>
              <w:t xml:space="preserve"> </w:t>
            </w:r>
            <w:r>
              <w:t>on the University website.</w:t>
            </w:r>
          </w:p>
        </w:tc>
      </w:tr>
      <w:tr w:rsidR="001917D6" w14:paraId="6C1FCFA7" w14:textId="77777777">
        <w:tc>
          <w:tcPr>
            <w:tcW w:w="2415" w:type="dxa"/>
          </w:tcPr>
          <w:p w14:paraId="63628D2A" w14:textId="76FE8A0D" w:rsidR="001917D6" w:rsidRDefault="001917D6" w:rsidP="000F39F3">
            <w:pPr>
              <w:pStyle w:val="ListParagraph"/>
              <w:numPr>
                <w:ilvl w:val="0"/>
                <w:numId w:val="23"/>
              </w:numPr>
            </w:pPr>
            <w:r w:rsidRPr="00034CAE">
              <w:t xml:space="preserve">Quality Assurance and </w:t>
            </w:r>
            <w:r>
              <w:t>Standards</w:t>
            </w:r>
          </w:p>
        </w:tc>
        <w:tc>
          <w:tcPr>
            <w:tcW w:w="2977" w:type="dxa"/>
          </w:tcPr>
          <w:p w14:paraId="56CE7DB7" w14:textId="7DFCAFEF" w:rsidR="001917D6" w:rsidRDefault="001917D6" w:rsidP="00DC3A8B">
            <w:r w:rsidRPr="00034CAE">
              <w:t xml:space="preserve">The University's quality assurance processes will be applied to ensure the </w:t>
            </w:r>
            <w:r w:rsidR="00D64031">
              <w:t>T</w:t>
            </w:r>
            <w:r w:rsidRPr="00034CAE">
              <w:t>each-</w:t>
            </w:r>
            <w:r w:rsidR="00D64031">
              <w:t>O</w:t>
            </w:r>
            <w:r w:rsidRPr="00034CAE">
              <w:t xml:space="preserve">ut </w:t>
            </w:r>
            <w:r w:rsidR="004E3E5E">
              <w:t>P</w:t>
            </w:r>
            <w:r w:rsidRPr="00034CAE">
              <w:t>lan meets academic standards and aligns with relevant regulatory requirements</w:t>
            </w:r>
            <w:r>
              <w:t xml:space="preserve"> and policies</w:t>
            </w:r>
            <w:r w:rsidRPr="00034CAE">
              <w:t>.</w:t>
            </w:r>
          </w:p>
        </w:tc>
        <w:tc>
          <w:tcPr>
            <w:tcW w:w="2126" w:type="dxa"/>
          </w:tcPr>
          <w:p w14:paraId="4AB9C02E" w14:textId="2431E17E" w:rsidR="001917D6" w:rsidRDefault="001917D6" w:rsidP="00DC3A8B">
            <w:r>
              <w:t>Student Learning and Academic Registry</w:t>
            </w:r>
          </w:p>
        </w:tc>
        <w:tc>
          <w:tcPr>
            <w:tcW w:w="6941" w:type="dxa"/>
          </w:tcPr>
          <w:p w14:paraId="2CF5BC09" w14:textId="774C0F7B" w:rsidR="001917D6" w:rsidRDefault="001917D6" w:rsidP="00DC3A8B">
            <w:pPr>
              <w:pStyle w:val="ListParagraph"/>
              <w:numPr>
                <w:ilvl w:val="0"/>
                <w:numId w:val="4"/>
              </w:numPr>
              <w:ind w:left="309" w:hanging="283"/>
            </w:pPr>
            <w:r w:rsidRPr="0012637F">
              <w:t>The University's SLAR</w:t>
            </w:r>
            <w:r>
              <w:t xml:space="preserve"> </w:t>
            </w:r>
            <w:r w:rsidRPr="0012637F">
              <w:t xml:space="preserve">will provide support and guidance to </w:t>
            </w:r>
            <w:r>
              <w:t xml:space="preserve">the Teach-Out Team to </w:t>
            </w:r>
            <w:r w:rsidRPr="0012637F">
              <w:t xml:space="preserve">ensure that quality assurance processes continue to be applied and that the </w:t>
            </w:r>
            <w:r>
              <w:t>T</w:t>
            </w:r>
            <w:r w:rsidRPr="0012637F">
              <w:t>each-</w:t>
            </w:r>
            <w:r>
              <w:t>O</w:t>
            </w:r>
            <w:r w:rsidRPr="0012637F">
              <w:t xml:space="preserve">ut </w:t>
            </w:r>
            <w:r>
              <w:t>P</w:t>
            </w:r>
            <w:r w:rsidRPr="0012637F">
              <w:t>lan meets academic standards and aligns with relevant regulatory requirements.</w:t>
            </w:r>
            <w:r>
              <w:t xml:space="preserve"> </w:t>
            </w:r>
          </w:p>
          <w:p w14:paraId="663FEACC" w14:textId="4C260399" w:rsidR="001917D6" w:rsidRDefault="001917D6" w:rsidP="00DC3A8B">
            <w:pPr>
              <w:pStyle w:val="ListParagraph"/>
              <w:numPr>
                <w:ilvl w:val="0"/>
                <w:numId w:val="4"/>
              </w:numPr>
              <w:ind w:left="309" w:hanging="283"/>
            </w:pPr>
            <w:r>
              <w:t xml:space="preserve">The requirements defined in the University’s Continuous Monitoring and Enhancement process remain in place during the Teach-Out Period. </w:t>
            </w:r>
            <w:r w:rsidR="00BC3EA4">
              <w:t xml:space="preserve"> </w:t>
            </w:r>
            <w:r>
              <w:t>For example, the Link Tutors will continue to complete the Quality Enhancement Visit Reports</w:t>
            </w:r>
            <w:r w:rsidR="00726EBC">
              <w:t>,</w:t>
            </w:r>
            <w:r w:rsidR="00BC6AB6">
              <w:t xml:space="preserve"> and partners will </w:t>
            </w:r>
            <w:r w:rsidR="000949CC">
              <w:t>submit annual reports</w:t>
            </w:r>
            <w:r>
              <w:t>.</w:t>
            </w:r>
          </w:p>
          <w:p w14:paraId="530E715D" w14:textId="6964DEF1" w:rsidR="001917D6" w:rsidRDefault="001917D6" w:rsidP="00DC3A8B">
            <w:pPr>
              <w:pStyle w:val="ListParagraph"/>
              <w:numPr>
                <w:ilvl w:val="0"/>
                <w:numId w:val="4"/>
              </w:numPr>
              <w:ind w:left="309" w:hanging="283"/>
            </w:pPr>
            <w:r w:rsidRPr="00BF7775">
              <w:t xml:space="preserve">SLAR will report progress annually to the Student Learning and Experience Committee through the Partnership Quality </w:t>
            </w:r>
            <w:r w:rsidRPr="00BF7775">
              <w:lastRenderedPageBreak/>
              <w:t>Assurance Health Check Report (formally the Partnership Risk Register).</w:t>
            </w:r>
          </w:p>
        </w:tc>
      </w:tr>
      <w:tr w:rsidR="001917D6" w14:paraId="6A8806DF" w14:textId="77777777">
        <w:tc>
          <w:tcPr>
            <w:tcW w:w="2415" w:type="dxa"/>
          </w:tcPr>
          <w:p w14:paraId="1B6E35D4" w14:textId="1FBA15ED" w:rsidR="001917D6" w:rsidRDefault="001917D6" w:rsidP="000F39F3">
            <w:pPr>
              <w:pStyle w:val="ListParagraph"/>
              <w:numPr>
                <w:ilvl w:val="0"/>
                <w:numId w:val="23"/>
              </w:numPr>
            </w:pPr>
            <w:r>
              <w:lastRenderedPageBreak/>
              <w:t>Monitoring and evaluation</w:t>
            </w:r>
          </w:p>
        </w:tc>
        <w:tc>
          <w:tcPr>
            <w:tcW w:w="2977" w:type="dxa"/>
          </w:tcPr>
          <w:p w14:paraId="6E13B8BD" w14:textId="54664564" w:rsidR="001917D6" w:rsidRDefault="001917D6" w:rsidP="00DC3A8B">
            <w:r w:rsidRPr="00C946AC">
              <w:t xml:space="preserve">The </w:t>
            </w:r>
            <w:r>
              <w:t>T</w:t>
            </w:r>
            <w:r w:rsidRPr="00C946AC">
              <w:t>each-</w:t>
            </w:r>
            <w:r>
              <w:t>O</w:t>
            </w:r>
            <w:r w:rsidRPr="00C946AC">
              <w:t xml:space="preserve">ut </w:t>
            </w:r>
            <w:r>
              <w:t>Plan</w:t>
            </w:r>
            <w:r w:rsidRPr="00C946AC">
              <w:t xml:space="preserve"> will be continuously monitored to assess its effectiveness and make any necessary adjustments. </w:t>
            </w:r>
          </w:p>
        </w:tc>
        <w:tc>
          <w:tcPr>
            <w:tcW w:w="2126" w:type="dxa"/>
          </w:tcPr>
          <w:p w14:paraId="05A329BE" w14:textId="0EF81A16" w:rsidR="001917D6" w:rsidRPr="007D32D3" w:rsidRDefault="001917D6" w:rsidP="00DC3A8B">
            <w:r>
              <w:t>Teach-Out Team</w:t>
            </w:r>
          </w:p>
        </w:tc>
        <w:tc>
          <w:tcPr>
            <w:tcW w:w="6941" w:type="dxa"/>
          </w:tcPr>
          <w:p w14:paraId="0C5E8945" w14:textId="6F88F756" w:rsidR="001917D6" w:rsidRDefault="001917D6" w:rsidP="00DC3A8B">
            <w:pPr>
              <w:pStyle w:val="ListParagraph"/>
              <w:numPr>
                <w:ilvl w:val="0"/>
                <w:numId w:val="4"/>
              </w:numPr>
              <w:ind w:left="309" w:hanging="283"/>
            </w:pPr>
            <w:r w:rsidRPr="00C96E1C">
              <w:t xml:space="preserve">The Teach-Out Team will maintain oversight of the </w:t>
            </w:r>
            <w:r>
              <w:t>implementation of the T</w:t>
            </w:r>
            <w:r w:rsidRPr="00C96E1C">
              <w:t>each-</w:t>
            </w:r>
            <w:r>
              <w:t>O</w:t>
            </w:r>
            <w:r w:rsidRPr="00C96E1C">
              <w:t xml:space="preserve">ut </w:t>
            </w:r>
            <w:r>
              <w:t>P</w:t>
            </w:r>
            <w:r w:rsidRPr="00C96E1C">
              <w:t xml:space="preserve">lan </w:t>
            </w:r>
            <w:r>
              <w:t xml:space="preserve">by the School(s) </w:t>
            </w:r>
            <w:r w:rsidRPr="00C96E1C">
              <w:t>to assess its effectiveness and make any necessary adjustments.</w:t>
            </w:r>
          </w:p>
          <w:p w14:paraId="0F592909" w14:textId="163EAA31" w:rsidR="001917D6" w:rsidRPr="007D32D3" w:rsidRDefault="001917D6" w:rsidP="00DC3A8B">
            <w:pPr>
              <w:pStyle w:val="ListParagraph"/>
              <w:ind w:left="309"/>
            </w:pPr>
          </w:p>
        </w:tc>
      </w:tr>
      <w:tr w:rsidR="001917D6" w14:paraId="6BED8F66" w14:textId="77777777">
        <w:tc>
          <w:tcPr>
            <w:tcW w:w="2415" w:type="dxa"/>
          </w:tcPr>
          <w:p w14:paraId="7F7C9996" w14:textId="7BC0FB8C" w:rsidR="001917D6" w:rsidRDefault="001917D6" w:rsidP="000F39F3">
            <w:pPr>
              <w:pStyle w:val="ListParagraph"/>
              <w:numPr>
                <w:ilvl w:val="0"/>
                <w:numId w:val="23"/>
              </w:numPr>
            </w:pPr>
            <w:r>
              <w:t xml:space="preserve">Graduation and </w:t>
            </w:r>
            <w:r w:rsidRPr="00B427A7">
              <w:t>Certification</w:t>
            </w:r>
          </w:p>
        </w:tc>
        <w:tc>
          <w:tcPr>
            <w:tcW w:w="2977" w:type="dxa"/>
          </w:tcPr>
          <w:p w14:paraId="6A1D0401" w14:textId="6363170B" w:rsidR="001917D6" w:rsidRDefault="001917D6" w:rsidP="00DC3A8B">
            <w:r w:rsidRPr="0020089A">
              <w:t>The Team-Out Team will, where appropriate, recommend arrangements regarding a graduation ceremony to CAD and relevant University approving bodies.</w:t>
            </w:r>
          </w:p>
        </w:tc>
        <w:tc>
          <w:tcPr>
            <w:tcW w:w="2126" w:type="dxa"/>
          </w:tcPr>
          <w:p w14:paraId="762F8595" w14:textId="5C9EFF91" w:rsidR="001917D6" w:rsidRDefault="001917D6" w:rsidP="00DC3A8B">
            <w:r w:rsidRPr="007D32D3">
              <w:t>Teach-</w:t>
            </w:r>
            <w:r>
              <w:t>O</w:t>
            </w:r>
            <w:r w:rsidRPr="007D32D3">
              <w:t xml:space="preserve">ut </w:t>
            </w:r>
            <w:r>
              <w:t>T</w:t>
            </w:r>
            <w:r w:rsidRPr="007D32D3">
              <w:t>eam</w:t>
            </w:r>
          </w:p>
        </w:tc>
        <w:tc>
          <w:tcPr>
            <w:tcW w:w="6941" w:type="dxa"/>
          </w:tcPr>
          <w:p w14:paraId="4E592AA8" w14:textId="77777777" w:rsidR="001917D6" w:rsidRDefault="001917D6" w:rsidP="00DC3A8B">
            <w:pPr>
              <w:pStyle w:val="ListParagraph"/>
              <w:numPr>
                <w:ilvl w:val="0"/>
                <w:numId w:val="4"/>
              </w:numPr>
              <w:ind w:left="309" w:hanging="283"/>
            </w:pPr>
            <w:r w:rsidRPr="004C1ED7">
              <w:t xml:space="preserve">On completion of their studies in line with the agreed </w:t>
            </w:r>
            <w:r>
              <w:t>T</w:t>
            </w:r>
            <w:r w:rsidRPr="004C1ED7">
              <w:t>each-</w:t>
            </w:r>
            <w:r>
              <w:t>O</w:t>
            </w:r>
            <w:r w:rsidRPr="004C1ED7">
              <w:t xml:space="preserve">ut </w:t>
            </w:r>
            <w:r>
              <w:t>P</w:t>
            </w:r>
            <w:r w:rsidRPr="004C1ED7">
              <w:t xml:space="preserve">lan, students will be conferred their award or intermediate award, as applicable. </w:t>
            </w:r>
          </w:p>
          <w:p w14:paraId="507D247C" w14:textId="2D042521" w:rsidR="001917D6" w:rsidRDefault="001917D6" w:rsidP="00DC3A8B">
            <w:pPr>
              <w:pStyle w:val="ListParagraph"/>
              <w:numPr>
                <w:ilvl w:val="0"/>
                <w:numId w:val="4"/>
              </w:numPr>
              <w:ind w:left="309" w:hanging="283"/>
            </w:pPr>
            <w:r w:rsidRPr="004C1ED7">
              <w:t>The Tea</w:t>
            </w:r>
            <w:r w:rsidR="00BC3EA4">
              <w:t>ch</w:t>
            </w:r>
            <w:r w:rsidRPr="004C1ED7">
              <w:t xml:space="preserve">-Out Team will, where appropriate, </w:t>
            </w:r>
            <w:r w:rsidRPr="000822B9">
              <w:t xml:space="preserve">recommend arrangements regarding a graduation ceremony to </w:t>
            </w:r>
            <w:r w:rsidR="00DA582E" w:rsidRPr="000822B9">
              <w:t xml:space="preserve">Communications and </w:t>
            </w:r>
            <w:r w:rsidRPr="000822B9">
              <w:t>D</w:t>
            </w:r>
            <w:r w:rsidR="00DA582E" w:rsidRPr="000822B9">
              <w:t>evelopment</w:t>
            </w:r>
            <w:r w:rsidRPr="004C1ED7">
              <w:t xml:space="preserve"> and relevant University approving bodies.</w:t>
            </w:r>
          </w:p>
        </w:tc>
      </w:tr>
      <w:tr w:rsidR="001917D6" w14:paraId="65767193" w14:textId="77777777">
        <w:tc>
          <w:tcPr>
            <w:tcW w:w="2415" w:type="dxa"/>
          </w:tcPr>
          <w:p w14:paraId="13A31A8B" w14:textId="1918B53D" w:rsidR="001917D6" w:rsidRDefault="001917D6" w:rsidP="000F39F3">
            <w:pPr>
              <w:pStyle w:val="ListParagraph"/>
              <w:numPr>
                <w:ilvl w:val="0"/>
                <w:numId w:val="23"/>
              </w:numPr>
            </w:pPr>
            <w:r>
              <w:t>Formal closure</w:t>
            </w:r>
          </w:p>
        </w:tc>
        <w:tc>
          <w:tcPr>
            <w:tcW w:w="2977" w:type="dxa"/>
          </w:tcPr>
          <w:p w14:paraId="733DFBEB" w14:textId="095E7988" w:rsidR="001917D6" w:rsidRDefault="001917D6" w:rsidP="00DC3A8B">
            <w:r w:rsidRPr="00714D14">
              <w:t xml:space="preserve">Once all students have completed their studies, the </w:t>
            </w:r>
            <w:r w:rsidR="00DC6C2B">
              <w:t xml:space="preserve">partnership and </w:t>
            </w:r>
            <w:r w:rsidRPr="00714D14">
              <w:t>course will be closed</w:t>
            </w:r>
            <w:r w:rsidR="00623294">
              <w:t xml:space="preserve">, and the </w:t>
            </w:r>
            <w:r w:rsidR="00623294" w:rsidRPr="00623294">
              <w:t>Teach-Out Team will be disestablished.</w:t>
            </w:r>
          </w:p>
        </w:tc>
        <w:tc>
          <w:tcPr>
            <w:tcW w:w="2126" w:type="dxa"/>
          </w:tcPr>
          <w:p w14:paraId="2BF653C5" w14:textId="4E465851" w:rsidR="001917D6" w:rsidRDefault="006B755A" w:rsidP="00DC3A8B">
            <w:r>
              <w:t xml:space="preserve">The </w:t>
            </w:r>
            <w:r w:rsidR="001917D6">
              <w:t>School</w:t>
            </w:r>
            <w:r w:rsidR="004E4630">
              <w:t xml:space="preserve"> Operational Lead</w:t>
            </w:r>
            <w:r w:rsidR="006550FA">
              <w:t>(s)</w:t>
            </w:r>
            <w:r w:rsidR="004E4630">
              <w:t xml:space="preserve"> </w:t>
            </w:r>
          </w:p>
        </w:tc>
        <w:tc>
          <w:tcPr>
            <w:tcW w:w="6941" w:type="dxa"/>
          </w:tcPr>
          <w:p w14:paraId="23F86789" w14:textId="13113C75" w:rsidR="001917D6" w:rsidRDefault="001917D6" w:rsidP="00DC3A8B">
            <w:pPr>
              <w:pStyle w:val="ListParagraph"/>
              <w:numPr>
                <w:ilvl w:val="0"/>
                <w:numId w:val="4"/>
              </w:numPr>
              <w:ind w:left="309" w:hanging="283"/>
            </w:pPr>
            <w:r>
              <w:t>The School</w:t>
            </w:r>
            <w:r w:rsidR="004E4630">
              <w:t xml:space="preserve"> Operational Lead</w:t>
            </w:r>
            <w:r w:rsidR="006550FA">
              <w:t>(s)</w:t>
            </w:r>
            <w:r w:rsidR="004E4630">
              <w:t xml:space="preserve"> </w:t>
            </w:r>
            <w:r>
              <w:t xml:space="preserve">will confirm </w:t>
            </w:r>
            <w:r w:rsidR="00E25AED">
              <w:t>to the T</w:t>
            </w:r>
            <w:r w:rsidR="00AC65CB">
              <w:t>each-</w:t>
            </w:r>
            <w:r w:rsidR="00E25AED">
              <w:t xml:space="preserve">Out Team </w:t>
            </w:r>
            <w:r w:rsidR="00684ABC">
              <w:t xml:space="preserve">once </w:t>
            </w:r>
            <w:r>
              <w:t>all students have completed their award or have withdrawn from their course (Report VAL00</w:t>
            </w:r>
            <w:r w:rsidR="00BC3EA4">
              <w:t>0</w:t>
            </w:r>
            <w:r>
              <w:t>8)</w:t>
            </w:r>
            <w:r w:rsidR="00040EB9">
              <w:t>.</w:t>
            </w:r>
          </w:p>
          <w:p w14:paraId="76E7328C" w14:textId="77777777" w:rsidR="003C1C0E" w:rsidRDefault="001917D6" w:rsidP="00DC3A8B">
            <w:pPr>
              <w:pStyle w:val="ListParagraph"/>
              <w:numPr>
                <w:ilvl w:val="0"/>
                <w:numId w:val="4"/>
              </w:numPr>
              <w:ind w:left="309" w:hanging="283"/>
            </w:pPr>
            <w:r w:rsidRPr="00301439">
              <w:t>Once all students have completed their studies, the course</w:t>
            </w:r>
            <w:r>
              <w:t>(s)</w:t>
            </w:r>
            <w:r w:rsidRPr="00301439">
              <w:t xml:space="preserve"> will be formally closed. </w:t>
            </w:r>
          </w:p>
          <w:p w14:paraId="5AD4ABA9" w14:textId="6E246514" w:rsidR="001917D6" w:rsidRDefault="001917D6" w:rsidP="00DC3A8B">
            <w:pPr>
              <w:pStyle w:val="ListParagraph"/>
              <w:numPr>
                <w:ilvl w:val="0"/>
                <w:numId w:val="4"/>
              </w:numPr>
              <w:ind w:left="309" w:hanging="283"/>
            </w:pPr>
            <w:r w:rsidRPr="00301439">
              <w:t xml:space="preserve">The </w:t>
            </w:r>
            <w:r w:rsidR="00DA582E">
              <w:t xml:space="preserve">Lead </w:t>
            </w:r>
            <w:r w:rsidRPr="00BD5E55">
              <w:t xml:space="preserve">Associate Dean </w:t>
            </w:r>
            <w:r w:rsidRPr="00301439">
              <w:t xml:space="preserve">will </w:t>
            </w:r>
            <w:r w:rsidR="008976FB">
              <w:t>submit</w:t>
            </w:r>
            <w:r w:rsidR="008976FB" w:rsidRPr="00301439">
              <w:t xml:space="preserve"> </w:t>
            </w:r>
            <w:r w:rsidRPr="00301439">
              <w:t xml:space="preserve">a </w:t>
            </w:r>
            <w:r w:rsidRPr="00BC3EA4">
              <w:rPr>
                <w:b/>
                <w:bCs/>
              </w:rPr>
              <w:t xml:space="preserve">PD6 Form - Closure of a </w:t>
            </w:r>
            <w:r w:rsidR="00BC3EA4" w:rsidRPr="00BC3EA4">
              <w:rPr>
                <w:b/>
                <w:bCs/>
              </w:rPr>
              <w:t xml:space="preserve">Collaborative </w:t>
            </w:r>
            <w:r w:rsidRPr="00BC3EA4">
              <w:rPr>
                <w:b/>
                <w:bCs/>
              </w:rPr>
              <w:t>Partnership and Approved Award Titles</w:t>
            </w:r>
            <w:r w:rsidRPr="00301439">
              <w:t xml:space="preserve"> to SLAR.</w:t>
            </w:r>
          </w:p>
          <w:p w14:paraId="0BA8CABD" w14:textId="6BDF0F05" w:rsidR="003C1C0E" w:rsidRDefault="003C1C0E" w:rsidP="00DC3A8B">
            <w:pPr>
              <w:pStyle w:val="ListParagraph"/>
              <w:numPr>
                <w:ilvl w:val="0"/>
                <w:numId w:val="4"/>
              </w:numPr>
              <w:ind w:left="309" w:hanging="283"/>
            </w:pPr>
            <w:r w:rsidRPr="003C1C0E">
              <w:t>The Teach-Out Team will be disestablished.</w:t>
            </w:r>
          </w:p>
        </w:tc>
      </w:tr>
      <w:tr w:rsidR="007447A2" w14:paraId="18E53CCC" w14:textId="77777777">
        <w:tc>
          <w:tcPr>
            <w:tcW w:w="2415" w:type="dxa"/>
          </w:tcPr>
          <w:p w14:paraId="33CE4828" w14:textId="1FA8E5AB" w:rsidR="007447A2" w:rsidRDefault="003F5B66" w:rsidP="000F39F3">
            <w:pPr>
              <w:pStyle w:val="ListParagraph"/>
              <w:numPr>
                <w:ilvl w:val="0"/>
                <w:numId w:val="23"/>
              </w:numPr>
            </w:pPr>
            <w:r>
              <w:t>Approval</w:t>
            </w:r>
            <w:r w:rsidR="00DC6C2B">
              <w:t xml:space="preserve"> of closure</w:t>
            </w:r>
          </w:p>
        </w:tc>
        <w:tc>
          <w:tcPr>
            <w:tcW w:w="2977" w:type="dxa"/>
          </w:tcPr>
          <w:p w14:paraId="0BB2F73C" w14:textId="6562B38B" w:rsidR="007447A2" w:rsidRDefault="00FF3F0B" w:rsidP="00DC3A8B">
            <w:r>
              <w:t>University approval of the partnership</w:t>
            </w:r>
            <w:r w:rsidR="006D3550">
              <w:t xml:space="preserve"> closure.</w:t>
            </w:r>
          </w:p>
        </w:tc>
        <w:tc>
          <w:tcPr>
            <w:tcW w:w="2126" w:type="dxa"/>
          </w:tcPr>
          <w:p w14:paraId="6BC35DF5" w14:textId="1CF983D4" w:rsidR="007447A2" w:rsidRDefault="00CF4501" w:rsidP="00DC3A8B">
            <w:r>
              <w:t xml:space="preserve">Student Learning </w:t>
            </w:r>
            <w:r w:rsidR="00BC3EA4">
              <w:t>&amp;</w:t>
            </w:r>
            <w:r>
              <w:t xml:space="preserve"> Academic Registry</w:t>
            </w:r>
          </w:p>
        </w:tc>
        <w:tc>
          <w:tcPr>
            <w:tcW w:w="6941" w:type="dxa"/>
          </w:tcPr>
          <w:p w14:paraId="40F883CE" w14:textId="3C3A2254" w:rsidR="007447A2" w:rsidRPr="0076308B" w:rsidRDefault="003F5B66" w:rsidP="004253B6">
            <w:pPr>
              <w:pStyle w:val="ListParagraph"/>
              <w:numPr>
                <w:ilvl w:val="0"/>
                <w:numId w:val="4"/>
              </w:numPr>
              <w:ind w:left="309" w:hanging="283"/>
            </w:pPr>
            <w:r>
              <w:t>Upon receipt of the PD6 Form, SLAR submits</w:t>
            </w:r>
            <w:r w:rsidR="00FF3F0B">
              <w:t xml:space="preserve"> it to the Student Learning &amp; Experience Committee (SLEC) for approval.</w:t>
            </w:r>
          </w:p>
        </w:tc>
      </w:tr>
      <w:tr w:rsidR="001917D6" w14:paraId="4C814BDF" w14:textId="77777777">
        <w:tc>
          <w:tcPr>
            <w:tcW w:w="2415" w:type="dxa"/>
          </w:tcPr>
          <w:p w14:paraId="0BF00818" w14:textId="4A6698FA" w:rsidR="001917D6" w:rsidRDefault="001917D6" w:rsidP="000F39F3">
            <w:pPr>
              <w:pStyle w:val="ListParagraph"/>
              <w:numPr>
                <w:ilvl w:val="0"/>
                <w:numId w:val="23"/>
              </w:numPr>
            </w:pPr>
            <w:r>
              <w:t>Notifications</w:t>
            </w:r>
          </w:p>
        </w:tc>
        <w:tc>
          <w:tcPr>
            <w:tcW w:w="2977" w:type="dxa"/>
          </w:tcPr>
          <w:p w14:paraId="12734595" w14:textId="7177E90E" w:rsidR="001917D6" w:rsidRPr="00714D14" w:rsidRDefault="001917D6" w:rsidP="00DC3A8B">
            <w:r>
              <w:t xml:space="preserve">Following the approval of the PD6 Form - </w:t>
            </w:r>
            <w:r w:rsidRPr="007A1E6F">
              <w:t>Closure of a Collaborative Partnership and Approved Award Titles</w:t>
            </w:r>
            <w:r>
              <w:t xml:space="preserve">, </w:t>
            </w:r>
            <w:r>
              <w:lastRenderedPageBreak/>
              <w:t>notifications will be sent to relevant University Departments</w:t>
            </w:r>
            <w:r w:rsidR="00BC3EA4">
              <w:t>.</w:t>
            </w:r>
          </w:p>
        </w:tc>
        <w:tc>
          <w:tcPr>
            <w:tcW w:w="2126" w:type="dxa"/>
          </w:tcPr>
          <w:p w14:paraId="6B4115D4" w14:textId="0DF84606" w:rsidR="001917D6" w:rsidRPr="00714D14" w:rsidRDefault="001917D6" w:rsidP="00DC3A8B">
            <w:r>
              <w:lastRenderedPageBreak/>
              <w:t xml:space="preserve">Student Learning </w:t>
            </w:r>
            <w:r w:rsidR="00BC3EA4">
              <w:t>&amp;</w:t>
            </w:r>
            <w:r>
              <w:t xml:space="preserve"> Academic Registry </w:t>
            </w:r>
          </w:p>
        </w:tc>
        <w:tc>
          <w:tcPr>
            <w:tcW w:w="6941" w:type="dxa"/>
          </w:tcPr>
          <w:p w14:paraId="1254710A" w14:textId="046924FA" w:rsidR="001917D6" w:rsidRDefault="001917D6" w:rsidP="004253B6">
            <w:pPr>
              <w:pStyle w:val="ListParagraph"/>
              <w:numPr>
                <w:ilvl w:val="0"/>
                <w:numId w:val="4"/>
              </w:numPr>
              <w:ind w:left="309" w:hanging="283"/>
            </w:pPr>
            <w:r w:rsidRPr="0076308B">
              <w:t xml:space="preserve">Following </w:t>
            </w:r>
            <w:r w:rsidR="00F1717D">
              <w:t>SLEC approval</w:t>
            </w:r>
            <w:r w:rsidRPr="0076308B">
              <w:t>, SLAR will notif</w:t>
            </w:r>
            <w:r w:rsidR="00185010">
              <w:t>y</w:t>
            </w:r>
            <w:r w:rsidRPr="0076308B">
              <w:t xml:space="preserve"> </w:t>
            </w:r>
            <w:r w:rsidR="00E806F0">
              <w:t>the School(s) and</w:t>
            </w:r>
            <w:r w:rsidRPr="0076308B">
              <w:t xml:space="preserve"> relevant University Departments</w:t>
            </w:r>
            <w:r>
              <w:t xml:space="preserve">, including Legal and Governance Services, Student Recruitment and Marketing, </w:t>
            </w:r>
            <w:r w:rsidR="00FE7F2A">
              <w:t xml:space="preserve">IT and Digital Services </w:t>
            </w:r>
            <w:r>
              <w:t>and Finance.</w:t>
            </w:r>
          </w:p>
        </w:tc>
      </w:tr>
      <w:tr w:rsidR="001917D6" w14:paraId="31D7E73D" w14:textId="77777777">
        <w:tc>
          <w:tcPr>
            <w:tcW w:w="2415" w:type="dxa"/>
          </w:tcPr>
          <w:p w14:paraId="17488F8B" w14:textId="51537E1D" w:rsidR="001917D6" w:rsidRDefault="001917D6" w:rsidP="00DC3A8B">
            <w:r>
              <w:t>1</w:t>
            </w:r>
            <w:r w:rsidR="00C325FB">
              <w:t>3</w:t>
            </w:r>
            <w:r>
              <w:t>a. Module and Course Closures</w:t>
            </w:r>
          </w:p>
        </w:tc>
        <w:tc>
          <w:tcPr>
            <w:tcW w:w="2977" w:type="dxa"/>
          </w:tcPr>
          <w:p w14:paraId="55B77FB1" w14:textId="2034A93C" w:rsidR="001917D6" w:rsidRDefault="001917D6" w:rsidP="00DC3A8B">
            <w:r>
              <w:t>Modules and courses closed on University Systems</w:t>
            </w:r>
            <w:r w:rsidR="00BC3EA4">
              <w:t>.</w:t>
            </w:r>
          </w:p>
        </w:tc>
        <w:tc>
          <w:tcPr>
            <w:tcW w:w="2126" w:type="dxa"/>
          </w:tcPr>
          <w:p w14:paraId="7BAA8BFA" w14:textId="77777777" w:rsidR="001917D6" w:rsidRDefault="001917D6" w:rsidP="00DC3A8B">
            <w:r>
              <w:t>Finance/ School(s)</w:t>
            </w:r>
          </w:p>
        </w:tc>
        <w:tc>
          <w:tcPr>
            <w:tcW w:w="6941" w:type="dxa"/>
          </w:tcPr>
          <w:p w14:paraId="58C8FE7D" w14:textId="08A30809" w:rsidR="001917D6" w:rsidRDefault="001917D6" w:rsidP="00DC3A8B">
            <w:pPr>
              <w:pStyle w:val="ListParagraph"/>
              <w:numPr>
                <w:ilvl w:val="0"/>
                <w:numId w:val="4"/>
              </w:numPr>
              <w:ind w:left="309" w:hanging="283"/>
            </w:pPr>
            <w:r>
              <w:t>Finance close</w:t>
            </w:r>
            <w:r w:rsidR="00B90A92">
              <w:t>s</w:t>
            </w:r>
            <w:r>
              <w:t xml:space="preserve"> all modules and courses on SITS</w:t>
            </w:r>
            <w:r w:rsidR="00BC3EA4">
              <w:t>.</w:t>
            </w:r>
          </w:p>
        </w:tc>
      </w:tr>
      <w:tr w:rsidR="001917D6" w14:paraId="0C9EC04A" w14:textId="77777777">
        <w:tc>
          <w:tcPr>
            <w:tcW w:w="2415" w:type="dxa"/>
          </w:tcPr>
          <w:p w14:paraId="42CEE33B" w14:textId="68C4A9E2" w:rsidR="001917D6" w:rsidRDefault="001917D6" w:rsidP="00DC3A8B">
            <w:r>
              <w:t>1</w:t>
            </w:r>
            <w:r w:rsidR="00C325FB">
              <w:t>3</w:t>
            </w:r>
            <w:r>
              <w:t>b. Associate Account Access</w:t>
            </w:r>
          </w:p>
        </w:tc>
        <w:tc>
          <w:tcPr>
            <w:tcW w:w="2977" w:type="dxa"/>
          </w:tcPr>
          <w:p w14:paraId="15F020A2" w14:textId="392C9D15" w:rsidR="001917D6" w:rsidRDefault="001917D6" w:rsidP="00DC3A8B">
            <w:r>
              <w:t>Access for the Partner to University IT Accounts and email access closed</w:t>
            </w:r>
            <w:r w:rsidR="00BC3EA4">
              <w:t>.</w:t>
            </w:r>
            <w:r>
              <w:t xml:space="preserve"> </w:t>
            </w:r>
          </w:p>
        </w:tc>
        <w:tc>
          <w:tcPr>
            <w:tcW w:w="2126" w:type="dxa"/>
          </w:tcPr>
          <w:p w14:paraId="3820A44B" w14:textId="77777777" w:rsidR="001917D6" w:rsidRDefault="001917D6" w:rsidP="00DC3A8B">
            <w:r>
              <w:t>IT and Digital Services</w:t>
            </w:r>
          </w:p>
        </w:tc>
        <w:tc>
          <w:tcPr>
            <w:tcW w:w="6941" w:type="dxa"/>
          </w:tcPr>
          <w:p w14:paraId="574BA8FC" w14:textId="77777777" w:rsidR="001917D6" w:rsidRDefault="001917D6" w:rsidP="00DC3A8B">
            <w:pPr>
              <w:pStyle w:val="ListParagraph"/>
              <w:numPr>
                <w:ilvl w:val="0"/>
                <w:numId w:val="4"/>
              </w:numPr>
              <w:ind w:left="309" w:hanging="283"/>
            </w:pPr>
            <w:r>
              <w:t>IT and Digital Services will ensure associated accounts and email access is closed.</w:t>
            </w:r>
          </w:p>
        </w:tc>
      </w:tr>
      <w:tr w:rsidR="001917D6" w14:paraId="21619912" w14:textId="77777777">
        <w:tc>
          <w:tcPr>
            <w:tcW w:w="2415" w:type="dxa"/>
          </w:tcPr>
          <w:p w14:paraId="41438A35" w14:textId="4F0200C6" w:rsidR="001917D6" w:rsidRDefault="001917D6" w:rsidP="00DC3A8B">
            <w:r>
              <w:t>1</w:t>
            </w:r>
            <w:r w:rsidR="0063683C">
              <w:t>3</w:t>
            </w:r>
            <w:r>
              <w:t xml:space="preserve">c. </w:t>
            </w:r>
            <w:r w:rsidR="00C87CE8">
              <w:t>Removal</w:t>
            </w:r>
            <w:r>
              <w:t xml:space="preserve"> from the Collaborative Provision Register</w:t>
            </w:r>
          </w:p>
        </w:tc>
        <w:tc>
          <w:tcPr>
            <w:tcW w:w="2977" w:type="dxa"/>
          </w:tcPr>
          <w:p w14:paraId="5719FD5A" w14:textId="1F4D330C" w:rsidR="001917D6" w:rsidRPr="00714D14" w:rsidRDefault="001917D6" w:rsidP="00DC3A8B">
            <w:r>
              <w:t>The Partner is removed from the Collaborative Provision Register</w:t>
            </w:r>
            <w:r w:rsidR="00BC3EA4">
              <w:t>.</w:t>
            </w:r>
            <w:r>
              <w:t xml:space="preserve">  </w:t>
            </w:r>
          </w:p>
        </w:tc>
        <w:tc>
          <w:tcPr>
            <w:tcW w:w="2126" w:type="dxa"/>
          </w:tcPr>
          <w:p w14:paraId="1B194754" w14:textId="1163C4CB" w:rsidR="001917D6" w:rsidRPr="00714D14" w:rsidRDefault="001917D6" w:rsidP="00DC3A8B">
            <w:r>
              <w:t>Student Learning and Academic Registry</w:t>
            </w:r>
          </w:p>
        </w:tc>
        <w:tc>
          <w:tcPr>
            <w:tcW w:w="6941" w:type="dxa"/>
          </w:tcPr>
          <w:p w14:paraId="33D22EFE" w14:textId="67026CB2" w:rsidR="001917D6" w:rsidRDefault="009275F5" w:rsidP="00DC3A8B">
            <w:pPr>
              <w:pStyle w:val="ListParagraph"/>
              <w:numPr>
                <w:ilvl w:val="0"/>
                <w:numId w:val="4"/>
              </w:numPr>
              <w:ind w:left="309" w:hanging="283"/>
            </w:pPr>
            <w:r>
              <w:t>SLAR</w:t>
            </w:r>
            <w:r w:rsidR="001917D6">
              <w:t xml:space="preserve"> </w:t>
            </w:r>
            <w:r w:rsidR="00A56BB7">
              <w:t>check</w:t>
            </w:r>
            <w:r w:rsidR="001917D6">
              <w:t xml:space="preserve"> that the </w:t>
            </w:r>
            <w:r w:rsidR="000F39F3">
              <w:t>p</w:t>
            </w:r>
            <w:r w:rsidR="001917D6">
              <w:t xml:space="preserve">artnership has been removed from the </w:t>
            </w:r>
            <w:r w:rsidR="001917D6" w:rsidRPr="00FC5DDB">
              <w:t>Collaborative Provision Register</w:t>
            </w:r>
            <w:r w:rsidR="001917D6">
              <w:t>.</w:t>
            </w:r>
          </w:p>
        </w:tc>
      </w:tr>
      <w:bookmarkEnd w:id="0"/>
    </w:tbl>
    <w:p w14:paraId="024C31F7" w14:textId="527B4BDC" w:rsidR="007A102B" w:rsidRDefault="007A102B" w:rsidP="00DC3A8B"/>
    <w:sectPr w:rsidR="007A102B" w:rsidSect="0008744D">
      <w:pgSz w:w="16838" w:h="11906" w:orient="landscape" w:code="9"/>
      <w:pgMar w:top="851"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F872" w14:textId="77777777" w:rsidR="00F13ABE" w:rsidRDefault="00F13ABE" w:rsidP="009C765A">
      <w:r>
        <w:separator/>
      </w:r>
    </w:p>
  </w:endnote>
  <w:endnote w:type="continuationSeparator" w:id="0">
    <w:p w14:paraId="322AF1F2" w14:textId="77777777" w:rsidR="00F13ABE" w:rsidRDefault="00F13ABE" w:rsidP="009C765A">
      <w:r>
        <w:continuationSeparator/>
      </w:r>
    </w:p>
  </w:endnote>
  <w:endnote w:type="continuationNotice" w:id="1">
    <w:p w14:paraId="2D131E5D" w14:textId="77777777" w:rsidR="00F13ABE" w:rsidRDefault="00F13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8369" w14:textId="77777777" w:rsidR="009C765A" w:rsidRPr="007F2575" w:rsidRDefault="009C765A">
    <w:pPr>
      <w:pStyle w:val="Footer"/>
      <w:jc w:val="right"/>
      <w:rPr>
        <w:sz w:val="20"/>
        <w:szCs w:val="18"/>
      </w:rPr>
    </w:pPr>
    <w:r w:rsidRPr="007F2575">
      <w:rPr>
        <w:sz w:val="20"/>
        <w:szCs w:val="18"/>
      </w:rPr>
      <w:fldChar w:fldCharType="begin"/>
    </w:r>
    <w:r w:rsidRPr="007F2575">
      <w:rPr>
        <w:sz w:val="20"/>
        <w:szCs w:val="18"/>
      </w:rPr>
      <w:instrText xml:space="preserve"> PAGE   \* MERGEFORMAT </w:instrText>
    </w:r>
    <w:r w:rsidRPr="007F2575">
      <w:rPr>
        <w:sz w:val="20"/>
        <w:szCs w:val="18"/>
      </w:rPr>
      <w:fldChar w:fldCharType="separate"/>
    </w:r>
    <w:r>
      <w:rPr>
        <w:noProof/>
        <w:sz w:val="20"/>
        <w:szCs w:val="18"/>
      </w:rPr>
      <w:t>3</w:t>
    </w:r>
    <w:r w:rsidRPr="007F2575">
      <w:rPr>
        <w:noProof/>
        <w:sz w:val="20"/>
        <w:szCs w:val="18"/>
      </w:rPr>
      <w:fldChar w:fldCharType="end"/>
    </w:r>
  </w:p>
  <w:p w14:paraId="54AF2A96" w14:textId="77777777" w:rsidR="009C765A" w:rsidRPr="000D6EA2" w:rsidRDefault="009C765A" w:rsidP="009C765A">
    <w:pPr>
      <w:pStyle w:val="Footer"/>
      <w:jc w:val="right"/>
      <w:rPr>
        <w:rFonts w:cs="Arial"/>
        <w:sz w:val="18"/>
      </w:rPr>
    </w:pPr>
    <w:r w:rsidRPr="0021756F">
      <w:rPr>
        <w:rFonts w:cs="Arial"/>
        <w:sz w:val="18"/>
        <w:szCs w:val="18"/>
      </w:rPr>
      <w:t>Quality Framework Operations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8351" w14:textId="77777777" w:rsidR="002C620B" w:rsidRPr="007F2575" w:rsidRDefault="002C620B">
    <w:pPr>
      <w:pStyle w:val="Footer"/>
      <w:jc w:val="right"/>
      <w:rPr>
        <w:sz w:val="20"/>
        <w:szCs w:val="18"/>
      </w:rPr>
    </w:pPr>
    <w:r w:rsidRPr="007F2575">
      <w:rPr>
        <w:sz w:val="20"/>
        <w:szCs w:val="18"/>
      </w:rPr>
      <w:fldChar w:fldCharType="begin"/>
    </w:r>
    <w:r w:rsidRPr="007F2575">
      <w:rPr>
        <w:sz w:val="20"/>
        <w:szCs w:val="18"/>
      </w:rPr>
      <w:instrText xml:space="preserve"> PAGE   \* MERGEFORMAT </w:instrText>
    </w:r>
    <w:r w:rsidRPr="007F2575">
      <w:rPr>
        <w:sz w:val="20"/>
        <w:szCs w:val="18"/>
      </w:rPr>
      <w:fldChar w:fldCharType="separate"/>
    </w:r>
    <w:r>
      <w:rPr>
        <w:noProof/>
        <w:sz w:val="20"/>
        <w:szCs w:val="18"/>
      </w:rPr>
      <w:t>3</w:t>
    </w:r>
    <w:r w:rsidRPr="007F2575">
      <w:rPr>
        <w:noProof/>
        <w:sz w:val="20"/>
        <w:szCs w:val="18"/>
      </w:rPr>
      <w:fldChar w:fldCharType="end"/>
    </w:r>
  </w:p>
  <w:p w14:paraId="010EA4D4" w14:textId="29D609CC" w:rsidR="002C620B" w:rsidRPr="000D6EA2" w:rsidRDefault="002C620B" w:rsidP="009C765A">
    <w:pPr>
      <w:pStyle w:val="Footer"/>
      <w:jc w:val="right"/>
      <w:rPr>
        <w:rFonts w:cs="Arial"/>
        <w:sz w:val="18"/>
      </w:rPr>
    </w:pPr>
    <w:r w:rsidRPr="0021756F">
      <w:rPr>
        <w:rFonts w:cs="Arial"/>
        <w:sz w:val="18"/>
        <w:szCs w:val="18"/>
      </w:rPr>
      <w:t>Quality Framework</w:t>
    </w:r>
    <w:r>
      <w:rPr>
        <w:rFonts w:cs="Arial"/>
        <w:sz w:val="18"/>
        <w:szCs w:val="18"/>
      </w:rPr>
      <w:t>:</w:t>
    </w:r>
    <w:r w:rsidRPr="0021756F">
      <w:rPr>
        <w:rFonts w:cs="Arial"/>
        <w:sz w:val="18"/>
        <w:szCs w:val="18"/>
      </w:rPr>
      <w:t xml:space="preserve"> Operations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9CBA" w14:textId="77777777" w:rsidR="00F13ABE" w:rsidRDefault="00F13ABE" w:rsidP="009C765A">
      <w:r>
        <w:separator/>
      </w:r>
    </w:p>
  </w:footnote>
  <w:footnote w:type="continuationSeparator" w:id="0">
    <w:p w14:paraId="54E4621B" w14:textId="77777777" w:rsidR="00F13ABE" w:rsidRDefault="00F13ABE" w:rsidP="009C765A">
      <w:r>
        <w:continuationSeparator/>
      </w:r>
    </w:p>
  </w:footnote>
  <w:footnote w:type="continuationNotice" w:id="1">
    <w:p w14:paraId="54C0CBAA" w14:textId="77777777" w:rsidR="00F13ABE" w:rsidRDefault="00F13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CA90" w14:textId="662ADCBA" w:rsidR="009C765A" w:rsidRPr="007F2575" w:rsidRDefault="009C765A" w:rsidP="009C765A">
    <w:pPr>
      <w:pStyle w:val="Header"/>
      <w:jc w:val="right"/>
      <w:rPr>
        <w:rFonts w:cs="Arial"/>
        <w:sz w:val="22"/>
        <w:szCs w:val="18"/>
      </w:rPr>
    </w:pPr>
    <w:r w:rsidRPr="007F2575">
      <w:rPr>
        <w:rFonts w:cs="Arial"/>
        <w:sz w:val="22"/>
        <w:szCs w:val="18"/>
      </w:rPr>
      <w:t xml:space="preserve">OM-Annex </w:t>
    </w:r>
    <w:r>
      <w:rPr>
        <w:rFonts w:cs="Arial"/>
        <w:sz w:val="22"/>
        <w:szCs w:val="18"/>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AE3B" w14:textId="5CBA3362" w:rsidR="009C765A" w:rsidRDefault="009C765A" w:rsidP="009C765A">
    <w:pPr>
      <w:pStyle w:val="Header"/>
      <w:jc w:val="right"/>
    </w:pPr>
    <w:r w:rsidRPr="007F2575">
      <w:rPr>
        <w:rFonts w:cs="Arial"/>
        <w:sz w:val="22"/>
        <w:szCs w:val="18"/>
      </w:rPr>
      <w:t xml:space="preserve">OM-Annex </w:t>
    </w:r>
    <w:r>
      <w:rPr>
        <w:rFonts w:cs="Arial"/>
        <w:sz w:val="22"/>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EF4"/>
    <w:multiLevelType w:val="multilevel"/>
    <w:tmpl w:val="6BB47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7DAD"/>
    <w:multiLevelType w:val="hybridMultilevel"/>
    <w:tmpl w:val="0A34F0FE"/>
    <w:lvl w:ilvl="0" w:tplc="08090005">
      <w:start w:val="1"/>
      <w:numFmt w:val="bullet"/>
      <w:lvlText w:val=""/>
      <w:lvlJc w:val="left"/>
      <w:pPr>
        <w:ind w:left="681" w:hanging="360"/>
      </w:pPr>
      <w:rPr>
        <w:rFonts w:ascii="Wingdings" w:hAnsi="Wingdings" w:hint="default"/>
      </w:rPr>
    </w:lvl>
    <w:lvl w:ilvl="1" w:tplc="08090003">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2" w15:restartNumberingAfterBreak="0">
    <w:nsid w:val="09F36CE0"/>
    <w:multiLevelType w:val="hybridMultilevel"/>
    <w:tmpl w:val="4020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38D1"/>
    <w:multiLevelType w:val="multilevel"/>
    <w:tmpl w:val="ED7C3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348B5"/>
    <w:multiLevelType w:val="hybridMultilevel"/>
    <w:tmpl w:val="65F62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8536278"/>
    <w:multiLevelType w:val="hybridMultilevel"/>
    <w:tmpl w:val="AF0045C4"/>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AD05F79"/>
    <w:multiLevelType w:val="multilevel"/>
    <w:tmpl w:val="BA001D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C7E29"/>
    <w:multiLevelType w:val="hybridMultilevel"/>
    <w:tmpl w:val="F8C64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6208C"/>
    <w:multiLevelType w:val="multilevel"/>
    <w:tmpl w:val="BD1210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B3FA6"/>
    <w:multiLevelType w:val="hybridMultilevel"/>
    <w:tmpl w:val="94F067D8"/>
    <w:lvl w:ilvl="0" w:tplc="30660510">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09725A"/>
    <w:multiLevelType w:val="multilevel"/>
    <w:tmpl w:val="897E1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378E0"/>
    <w:multiLevelType w:val="multilevel"/>
    <w:tmpl w:val="15445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A47A3E"/>
    <w:multiLevelType w:val="multilevel"/>
    <w:tmpl w:val="FA22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8216F"/>
    <w:multiLevelType w:val="multilevel"/>
    <w:tmpl w:val="A9A822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821F9"/>
    <w:multiLevelType w:val="hybridMultilevel"/>
    <w:tmpl w:val="0CA8D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0B6A0E"/>
    <w:multiLevelType w:val="multilevel"/>
    <w:tmpl w:val="C6E84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3249F0"/>
    <w:multiLevelType w:val="hybridMultilevel"/>
    <w:tmpl w:val="B1CC6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B0125D"/>
    <w:multiLevelType w:val="hybridMultilevel"/>
    <w:tmpl w:val="3BBE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4703D"/>
    <w:multiLevelType w:val="hybridMultilevel"/>
    <w:tmpl w:val="5A62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0071E"/>
    <w:multiLevelType w:val="hybridMultilevel"/>
    <w:tmpl w:val="5C5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27060A"/>
    <w:multiLevelType w:val="hybridMultilevel"/>
    <w:tmpl w:val="A77E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F5278"/>
    <w:multiLevelType w:val="hybridMultilevel"/>
    <w:tmpl w:val="01C081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D3E0AB1"/>
    <w:multiLevelType w:val="hybridMultilevel"/>
    <w:tmpl w:val="298C4A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1778F"/>
    <w:multiLevelType w:val="hybridMultilevel"/>
    <w:tmpl w:val="9CD897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62651106">
    <w:abstractNumId w:val="2"/>
  </w:num>
  <w:num w:numId="2" w16cid:durableId="559941230">
    <w:abstractNumId w:val="17"/>
  </w:num>
  <w:num w:numId="3" w16cid:durableId="1253203871">
    <w:abstractNumId w:val="9"/>
  </w:num>
  <w:num w:numId="4" w16cid:durableId="903300844">
    <w:abstractNumId w:val="22"/>
  </w:num>
  <w:num w:numId="5" w16cid:durableId="527302928">
    <w:abstractNumId w:val="20"/>
  </w:num>
  <w:num w:numId="6" w16cid:durableId="1597011331">
    <w:abstractNumId w:val="19"/>
  </w:num>
  <w:num w:numId="7" w16cid:durableId="800997845">
    <w:abstractNumId w:val="16"/>
  </w:num>
  <w:num w:numId="8" w16cid:durableId="373235706">
    <w:abstractNumId w:val="18"/>
  </w:num>
  <w:num w:numId="9" w16cid:durableId="1712656117">
    <w:abstractNumId w:val="1"/>
  </w:num>
  <w:num w:numId="10" w16cid:durableId="1581059300">
    <w:abstractNumId w:val="12"/>
  </w:num>
  <w:num w:numId="11" w16cid:durableId="985667472">
    <w:abstractNumId w:val="10"/>
  </w:num>
  <w:num w:numId="12" w16cid:durableId="686562908">
    <w:abstractNumId w:val="15"/>
  </w:num>
  <w:num w:numId="13" w16cid:durableId="1777674581">
    <w:abstractNumId w:val="0"/>
  </w:num>
  <w:num w:numId="14" w16cid:durableId="1394541134">
    <w:abstractNumId w:val="13"/>
  </w:num>
  <w:num w:numId="15" w16cid:durableId="424418274">
    <w:abstractNumId w:val="8"/>
  </w:num>
  <w:num w:numId="16" w16cid:durableId="1914970740">
    <w:abstractNumId w:val="11"/>
  </w:num>
  <w:num w:numId="17" w16cid:durableId="2093505276">
    <w:abstractNumId w:val="3"/>
  </w:num>
  <w:num w:numId="18" w16cid:durableId="885260307">
    <w:abstractNumId w:val="6"/>
  </w:num>
  <w:num w:numId="19" w16cid:durableId="1812283258">
    <w:abstractNumId w:val="21"/>
  </w:num>
  <w:num w:numId="20" w16cid:durableId="1284455686">
    <w:abstractNumId w:val="14"/>
  </w:num>
  <w:num w:numId="21" w16cid:durableId="2094667794">
    <w:abstractNumId w:val="4"/>
  </w:num>
  <w:num w:numId="22" w16cid:durableId="1873301238">
    <w:abstractNumId w:val="7"/>
  </w:num>
  <w:num w:numId="23" w16cid:durableId="2903314">
    <w:abstractNumId w:val="23"/>
  </w:num>
  <w:num w:numId="24" w16cid:durableId="1591157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04"/>
    <w:rsid w:val="00001879"/>
    <w:rsid w:val="00005E2F"/>
    <w:rsid w:val="000063CF"/>
    <w:rsid w:val="00006A17"/>
    <w:rsid w:val="000077C3"/>
    <w:rsid w:val="000119ED"/>
    <w:rsid w:val="00012CDA"/>
    <w:rsid w:val="00023A7F"/>
    <w:rsid w:val="00026579"/>
    <w:rsid w:val="000326D0"/>
    <w:rsid w:val="00033DEE"/>
    <w:rsid w:val="0003444F"/>
    <w:rsid w:val="00034CAE"/>
    <w:rsid w:val="000376BD"/>
    <w:rsid w:val="00037A55"/>
    <w:rsid w:val="00040EB9"/>
    <w:rsid w:val="000445F3"/>
    <w:rsid w:val="00050831"/>
    <w:rsid w:val="000530B5"/>
    <w:rsid w:val="00055468"/>
    <w:rsid w:val="00057FF2"/>
    <w:rsid w:val="00060C8D"/>
    <w:rsid w:val="0007169E"/>
    <w:rsid w:val="000733AF"/>
    <w:rsid w:val="00074846"/>
    <w:rsid w:val="00074AEC"/>
    <w:rsid w:val="00074C9E"/>
    <w:rsid w:val="00075E9B"/>
    <w:rsid w:val="00076391"/>
    <w:rsid w:val="000822B9"/>
    <w:rsid w:val="000831B5"/>
    <w:rsid w:val="0008744D"/>
    <w:rsid w:val="00093316"/>
    <w:rsid w:val="000949CC"/>
    <w:rsid w:val="000974EE"/>
    <w:rsid w:val="000A40FD"/>
    <w:rsid w:val="000A7AFB"/>
    <w:rsid w:val="000B1F8B"/>
    <w:rsid w:val="000C6B01"/>
    <w:rsid w:val="000D1624"/>
    <w:rsid w:val="000D3DDF"/>
    <w:rsid w:val="000D6FE3"/>
    <w:rsid w:val="000D7342"/>
    <w:rsid w:val="000E1BDE"/>
    <w:rsid w:val="000F39F3"/>
    <w:rsid w:val="000F3BF0"/>
    <w:rsid w:val="000F5C8F"/>
    <w:rsid w:val="000F6147"/>
    <w:rsid w:val="00104D20"/>
    <w:rsid w:val="00107A8A"/>
    <w:rsid w:val="00110F1F"/>
    <w:rsid w:val="0011127C"/>
    <w:rsid w:val="0012116A"/>
    <w:rsid w:val="00121CCE"/>
    <w:rsid w:val="001235A5"/>
    <w:rsid w:val="00124D8F"/>
    <w:rsid w:val="0012585B"/>
    <w:rsid w:val="00126161"/>
    <w:rsid w:val="0012637F"/>
    <w:rsid w:val="001306FF"/>
    <w:rsid w:val="00130B32"/>
    <w:rsid w:val="001320F1"/>
    <w:rsid w:val="00135B0C"/>
    <w:rsid w:val="00135C27"/>
    <w:rsid w:val="001368AC"/>
    <w:rsid w:val="00137375"/>
    <w:rsid w:val="00140F73"/>
    <w:rsid w:val="001455E9"/>
    <w:rsid w:val="00147893"/>
    <w:rsid w:val="001506C8"/>
    <w:rsid w:val="001549D7"/>
    <w:rsid w:val="00155FA9"/>
    <w:rsid w:val="0015610F"/>
    <w:rsid w:val="00161768"/>
    <w:rsid w:val="001647A6"/>
    <w:rsid w:val="00177D76"/>
    <w:rsid w:val="00185010"/>
    <w:rsid w:val="00186655"/>
    <w:rsid w:val="0019102F"/>
    <w:rsid w:val="001917D6"/>
    <w:rsid w:val="001933BD"/>
    <w:rsid w:val="00194668"/>
    <w:rsid w:val="00194C36"/>
    <w:rsid w:val="0019722C"/>
    <w:rsid w:val="001A1D1A"/>
    <w:rsid w:val="001A1F28"/>
    <w:rsid w:val="001A3F0D"/>
    <w:rsid w:val="001A51C0"/>
    <w:rsid w:val="001B35CC"/>
    <w:rsid w:val="001B3E28"/>
    <w:rsid w:val="001B58E5"/>
    <w:rsid w:val="001C11F6"/>
    <w:rsid w:val="001C7310"/>
    <w:rsid w:val="001D7EF7"/>
    <w:rsid w:val="001E04B8"/>
    <w:rsid w:val="001E44B3"/>
    <w:rsid w:val="001F0002"/>
    <w:rsid w:val="001F4DA5"/>
    <w:rsid w:val="001F78D2"/>
    <w:rsid w:val="002002D1"/>
    <w:rsid w:val="0020089A"/>
    <w:rsid w:val="00201AAC"/>
    <w:rsid w:val="0020614D"/>
    <w:rsid w:val="00207FB0"/>
    <w:rsid w:val="002113F9"/>
    <w:rsid w:val="002127E2"/>
    <w:rsid w:val="002153DD"/>
    <w:rsid w:val="00215869"/>
    <w:rsid w:val="002161AC"/>
    <w:rsid w:val="002177A3"/>
    <w:rsid w:val="002300B7"/>
    <w:rsid w:val="002318D8"/>
    <w:rsid w:val="00231B30"/>
    <w:rsid w:val="00237A45"/>
    <w:rsid w:val="00246712"/>
    <w:rsid w:val="0025317B"/>
    <w:rsid w:val="002570BA"/>
    <w:rsid w:val="00263C75"/>
    <w:rsid w:val="0026546A"/>
    <w:rsid w:val="00267E34"/>
    <w:rsid w:val="00273088"/>
    <w:rsid w:val="002737F3"/>
    <w:rsid w:val="002743A7"/>
    <w:rsid w:val="002774F4"/>
    <w:rsid w:val="00277597"/>
    <w:rsid w:val="00280145"/>
    <w:rsid w:val="002822C6"/>
    <w:rsid w:val="00283704"/>
    <w:rsid w:val="00287F29"/>
    <w:rsid w:val="00296284"/>
    <w:rsid w:val="002A2948"/>
    <w:rsid w:val="002A5B47"/>
    <w:rsid w:val="002A6CED"/>
    <w:rsid w:val="002A7CFE"/>
    <w:rsid w:val="002B0C6C"/>
    <w:rsid w:val="002B1257"/>
    <w:rsid w:val="002B2125"/>
    <w:rsid w:val="002C1952"/>
    <w:rsid w:val="002C4B54"/>
    <w:rsid w:val="002C620B"/>
    <w:rsid w:val="002D07A2"/>
    <w:rsid w:val="002D122F"/>
    <w:rsid w:val="002D1CB3"/>
    <w:rsid w:val="002D2310"/>
    <w:rsid w:val="002D2400"/>
    <w:rsid w:val="002E0B97"/>
    <w:rsid w:val="002E2665"/>
    <w:rsid w:val="002E67DD"/>
    <w:rsid w:val="002F3978"/>
    <w:rsid w:val="002F5166"/>
    <w:rsid w:val="002F7F41"/>
    <w:rsid w:val="00301439"/>
    <w:rsid w:val="00305D9B"/>
    <w:rsid w:val="003077E6"/>
    <w:rsid w:val="00307938"/>
    <w:rsid w:val="00307D75"/>
    <w:rsid w:val="00310988"/>
    <w:rsid w:val="00313E5F"/>
    <w:rsid w:val="00314CEA"/>
    <w:rsid w:val="00320225"/>
    <w:rsid w:val="00325091"/>
    <w:rsid w:val="003335F5"/>
    <w:rsid w:val="00340CBA"/>
    <w:rsid w:val="00341492"/>
    <w:rsid w:val="00345693"/>
    <w:rsid w:val="00356DA2"/>
    <w:rsid w:val="00357479"/>
    <w:rsid w:val="003601AA"/>
    <w:rsid w:val="00365A31"/>
    <w:rsid w:val="00370EC3"/>
    <w:rsid w:val="00372A66"/>
    <w:rsid w:val="00373EB8"/>
    <w:rsid w:val="003777CD"/>
    <w:rsid w:val="003777EA"/>
    <w:rsid w:val="00386786"/>
    <w:rsid w:val="00394575"/>
    <w:rsid w:val="00396DA6"/>
    <w:rsid w:val="003A0AC9"/>
    <w:rsid w:val="003A4D85"/>
    <w:rsid w:val="003A76AB"/>
    <w:rsid w:val="003A7D9C"/>
    <w:rsid w:val="003C1C0E"/>
    <w:rsid w:val="003D220C"/>
    <w:rsid w:val="003D2FBE"/>
    <w:rsid w:val="003D431A"/>
    <w:rsid w:val="003D51F3"/>
    <w:rsid w:val="003F2A44"/>
    <w:rsid w:val="003F4BB2"/>
    <w:rsid w:val="003F5B66"/>
    <w:rsid w:val="00402B02"/>
    <w:rsid w:val="004058B5"/>
    <w:rsid w:val="004072B8"/>
    <w:rsid w:val="0041025E"/>
    <w:rsid w:val="00414174"/>
    <w:rsid w:val="004162DA"/>
    <w:rsid w:val="0041683C"/>
    <w:rsid w:val="00416962"/>
    <w:rsid w:val="0041796B"/>
    <w:rsid w:val="00422F8D"/>
    <w:rsid w:val="004253B6"/>
    <w:rsid w:val="00434C6D"/>
    <w:rsid w:val="00436984"/>
    <w:rsid w:val="004400E2"/>
    <w:rsid w:val="0044575E"/>
    <w:rsid w:val="00446846"/>
    <w:rsid w:val="00451444"/>
    <w:rsid w:val="00456257"/>
    <w:rsid w:val="00475A87"/>
    <w:rsid w:val="00475DC5"/>
    <w:rsid w:val="004761C1"/>
    <w:rsid w:val="00483360"/>
    <w:rsid w:val="00483575"/>
    <w:rsid w:val="0048567D"/>
    <w:rsid w:val="004918D3"/>
    <w:rsid w:val="004929F9"/>
    <w:rsid w:val="004932E0"/>
    <w:rsid w:val="0049392E"/>
    <w:rsid w:val="00494874"/>
    <w:rsid w:val="0049504A"/>
    <w:rsid w:val="00497361"/>
    <w:rsid w:val="004973E1"/>
    <w:rsid w:val="004B0BD8"/>
    <w:rsid w:val="004B2B79"/>
    <w:rsid w:val="004B366F"/>
    <w:rsid w:val="004B50E9"/>
    <w:rsid w:val="004C067A"/>
    <w:rsid w:val="004C1ED7"/>
    <w:rsid w:val="004C5F73"/>
    <w:rsid w:val="004C63E2"/>
    <w:rsid w:val="004D15C8"/>
    <w:rsid w:val="004D3DA5"/>
    <w:rsid w:val="004D4F46"/>
    <w:rsid w:val="004D5896"/>
    <w:rsid w:val="004D7474"/>
    <w:rsid w:val="004E1F02"/>
    <w:rsid w:val="004E3E5E"/>
    <w:rsid w:val="004E4630"/>
    <w:rsid w:val="004E4DB5"/>
    <w:rsid w:val="004F00F2"/>
    <w:rsid w:val="004F13FA"/>
    <w:rsid w:val="004F6F8B"/>
    <w:rsid w:val="004F7D65"/>
    <w:rsid w:val="00501C6A"/>
    <w:rsid w:val="0050208C"/>
    <w:rsid w:val="00502F7A"/>
    <w:rsid w:val="00504711"/>
    <w:rsid w:val="0050648D"/>
    <w:rsid w:val="00510668"/>
    <w:rsid w:val="00516896"/>
    <w:rsid w:val="00517B52"/>
    <w:rsid w:val="00524135"/>
    <w:rsid w:val="00525B8D"/>
    <w:rsid w:val="00530CC5"/>
    <w:rsid w:val="00534BBB"/>
    <w:rsid w:val="00544137"/>
    <w:rsid w:val="005467F1"/>
    <w:rsid w:val="005468BC"/>
    <w:rsid w:val="00550969"/>
    <w:rsid w:val="005569E3"/>
    <w:rsid w:val="0056000A"/>
    <w:rsid w:val="00560458"/>
    <w:rsid w:val="00562627"/>
    <w:rsid w:val="005659A7"/>
    <w:rsid w:val="005706C1"/>
    <w:rsid w:val="00574AF6"/>
    <w:rsid w:val="0058478B"/>
    <w:rsid w:val="0058486E"/>
    <w:rsid w:val="005862A9"/>
    <w:rsid w:val="00590FFF"/>
    <w:rsid w:val="005913A5"/>
    <w:rsid w:val="00592A93"/>
    <w:rsid w:val="00593584"/>
    <w:rsid w:val="00596524"/>
    <w:rsid w:val="005A18AF"/>
    <w:rsid w:val="005A249E"/>
    <w:rsid w:val="005A3C7E"/>
    <w:rsid w:val="005A6FCF"/>
    <w:rsid w:val="005B301B"/>
    <w:rsid w:val="005B4762"/>
    <w:rsid w:val="005B6F49"/>
    <w:rsid w:val="005D0A35"/>
    <w:rsid w:val="005D526D"/>
    <w:rsid w:val="005D6F95"/>
    <w:rsid w:val="005D7487"/>
    <w:rsid w:val="005E1E42"/>
    <w:rsid w:val="005F0971"/>
    <w:rsid w:val="005F1601"/>
    <w:rsid w:val="00603EDE"/>
    <w:rsid w:val="00604AB0"/>
    <w:rsid w:val="00606E5E"/>
    <w:rsid w:val="006107C0"/>
    <w:rsid w:val="006152B3"/>
    <w:rsid w:val="00615762"/>
    <w:rsid w:val="0061600E"/>
    <w:rsid w:val="006204D2"/>
    <w:rsid w:val="00623294"/>
    <w:rsid w:val="00623C1A"/>
    <w:rsid w:val="00624996"/>
    <w:rsid w:val="00633EDC"/>
    <w:rsid w:val="0063683C"/>
    <w:rsid w:val="00637DB7"/>
    <w:rsid w:val="006407C9"/>
    <w:rsid w:val="0064673F"/>
    <w:rsid w:val="00646C12"/>
    <w:rsid w:val="00647307"/>
    <w:rsid w:val="006500CE"/>
    <w:rsid w:val="006532D5"/>
    <w:rsid w:val="006550FA"/>
    <w:rsid w:val="00657720"/>
    <w:rsid w:val="00661F29"/>
    <w:rsid w:val="00664C08"/>
    <w:rsid w:val="00665DBA"/>
    <w:rsid w:val="00667C0C"/>
    <w:rsid w:val="00671D96"/>
    <w:rsid w:val="00681D3F"/>
    <w:rsid w:val="00684ABC"/>
    <w:rsid w:val="00684D3A"/>
    <w:rsid w:val="0068664A"/>
    <w:rsid w:val="006903CF"/>
    <w:rsid w:val="00695133"/>
    <w:rsid w:val="006957E3"/>
    <w:rsid w:val="006A0B8C"/>
    <w:rsid w:val="006A1803"/>
    <w:rsid w:val="006A4821"/>
    <w:rsid w:val="006A6FB4"/>
    <w:rsid w:val="006A7E4D"/>
    <w:rsid w:val="006B004B"/>
    <w:rsid w:val="006B201E"/>
    <w:rsid w:val="006B414B"/>
    <w:rsid w:val="006B63E8"/>
    <w:rsid w:val="006B755A"/>
    <w:rsid w:val="006C4B25"/>
    <w:rsid w:val="006C679D"/>
    <w:rsid w:val="006D1825"/>
    <w:rsid w:val="006D313F"/>
    <w:rsid w:val="006D3550"/>
    <w:rsid w:val="006D6077"/>
    <w:rsid w:val="006D7359"/>
    <w:rsid w:val="006D7989"/>
    <w:rsid w:val="006F1AFB"/>
    <w:rsid w:val="006F4FED"/>
    <w:rsid w:val="00704F93"/>
    <w:rsid w:val="00705B55"/>
    <w:rsid w:val="0071237B"/>
    <w:rsid w:val="00714D14"/>
    <w:rsid w:val="007153CF"/>
    <w:rsid w:val="00715648"/>
    <w:rsid w:val="0072576E"/>
    <w:rsid w:val="00726EBC"/>
    <w:rsid w:val="00731905"/>
    <w:rsid w:val="00735C28"/>
    <w:rsid w:val="00737241"/>
    <w:rsid w:val="00740B5D"/>
    <w:rsid w:val="00740DA9"/>
    <w:rsid w:val="007447A2"/>
    <w:rsid w:val="00744F8B"/>
    <w:rsid w:val="007479E1"/>
    <w:rsid w:val="007617CF"/>
    <w:rsid w:val="0076308B"/>
    <w:rsid w:val="0076434A"/>
    <w:rsid w:val="00765FC9"/>
    <w:rsid w:val="007669CF"/>
    <w:rsid w:val="00771E09"/>
    <w:rsid w:val="0077361B"/>
    <w:rsid w:val="00775409"/>
    <w:rsid w:val="0078135D"/>
    <w:rsid w:val="00781B88"/>
    <w:rsid w:val="00785692"/>
    <w:rsid w:val="0079234B"/>
    <w:rsid w:val="0079274C"/>
    <w:rsid w:val="0079348E"/>
    <w:rsid w:val="007A102B"/>
    <w:rsid w:val="007A1E6F"/>
    <w:rsid w:val="007B3B40"/>
    <w:rsid w:val="007C021F"/>
    <w:rsid w:val="007C38B0"/>
    <w:rsid w:val="007C4FDE"/>
    <w:rsid w:val="007C5CD7"/>
    <w:rsid w:val="007D142B"/>
    <w:rsid w:val="007D32D3"/>
    <w:rsid w:val="007D3A45"/>
    <w:rsid w:val="007D441A"/>
    <w:rsid w:val="007D785F"/>
    <w:rsid w:val="007E0444"/>
    <w:rsid w:val="007E074E"/>
    <w:rsid w:val="007E09D1"/>
    <w:rsid w:val="007E37AD"/>
    <w:rsid w:val="007E3BE1"/>
    <w:rsid w:val="007E4A5C"/>
    <w:rsid w:val="007E76A1"/>
    <w:rsid w:val="007E7D42"/>
    <w:rsid w:val="007F6576"/>
    <w:rsid w:val="008019A8"/>
    <w:rsid w:val="008019E9"/>
    <w:rsid w:val="00805305"/>
    <w:rsid w:val="00811736"/>
    <w:rsid w:val="008137B9"/>
    <w:rsid w:val="00813F89"/>
    <w:rsid w:val="00824110"/>
    <w:rsid w:val="00827598"/>
    <w:rsid w:val="00831635"/>
    <w:rsid w:val="0083351F"/>
    <w:rsid w:val="00837C78"/>
    <w:rsid w:val="008459DD"/>
    <w:rsid w:val="00846876"/>
    <w:rsid w:val="008543DD"/>
    <w:rsid w:val="008546F6"/>
    <w:rsid w:val="008557B3"/>
    <w:rsid w:val="00857607"/>
    <w:rsid w:val="00861FB7"/>
    <w:rsid w:val="0086676A"/>
    <w:rsid w:val="0087150C"/>
    <w:rsid w:val="00872A8C"/>
    <w:rsid w:val="00874868"/>
    <w:rsid w:val="00875996"/>
    <w:rsid w:val="00883FC8"/>
    <w:rsid w:val="008864A9"/>
    <w:rsid w:val="0089046A"/>
    <w:rsid w:val="00890F48"/>
    <w:rsid w:val="008913F4"/>
    <w:rsid w:val="00896E40"/>
    <w:rsid w:val="008976FB"/>
    <w:rsid w:val="008A1FFB"/>
    <w:rsid w:val="008A3E8E"/>
    <w:rsid w:val="008A4D8E"/>
    <w:rsid w:val="008B3D4C"/>
    <w:rsid w:val="008C188B"/>
    <w:rsid w:val="008C5410"/>
    <w:rsid w:val="008C6663"/>
    <w:rsid w:val="008D6066"/>
    <w:rsid w:val="008D68D6"/>
    <w:rsid w:val="008E0A2F"/>
    <w:rsid w:val="008E13F4"/>
    <w:rsid w:val="008F1E78"/>
    <w:rsid w:val="00901F82"/>
    <w:rsid w:val="00906445"/>
    <w:rsid w:val="00920ABD"/>
    <w:rsid w:val="00920CC9"/>
    <w:rsid w:val="00924252"/>
    <w:rsid w:val="00926569"/>
    <w:rsid w:val="009275F5"/>
    <w:rsid w:val="00927724"/>
    <w:rsid w:val="009304E7"/>
    <w:rsid w:val="00932BEC"/>
    <w:rsid w:val="00937025"/>
    <w:rsid w:val="009505D2"/>
    <w:rsid w:val="0095264A"/>
    <w:rsid w:val="00952EA4"/>
    <w:rsid w:val="00954606"/>
    <w:rsid w:val="00955697"/>
    <w:rsid w:val="00956426"/>
    <w:rsid w:val="00961EF1"/>
    <w:rsid w:val="00962ACC"/>
    <w:rsid w:val="00963816"/>
    <w:rsid w:val="0096449B"/>
    <w:rsid w:val="00964875"/>
    <w:rsid w:val="009669BD"/>
    <w:rsid w:val="00971575"/>
    <w:rsid w:val="009718C2"/>
    <w:rsid w:val="00973666"/>
    <w:rsid w:val="009753E5"/>
    <w:rsid w:val="0097542C"/>
    <w:rsid w:val="00985EC1"/>
    <w:rsid w:val="00985F73"/>
    <w:rsid w:val="00990054"/>
    <w:rsid w:val="00993E21"/>
    <w:rsid w:val="009969CE"/>
    <w:rsid w:val="00997779"/>
    <w:rsid w:val="009A336C"/>
    <w:rsid w:val="009A5FE6"/>
    <w:rsid w:val="009A708B"/>
    <w:rsid w:val="009A7593"/>
    <w:rsid w:val="009B5B62"/>
    <w:rsid w:val="009C0404"/>
    <w:rsid w:val="009C237F"/>
    <w:rsid w:val="009C36C0"/>
    <w:rsid w:val="009C4BE8"/>
    <w:rsid w:val="009C765A"/>
    <w:rsid w:val="009E1F08"/>
    <w:rsid w:val="009E7B45"/>
    <w:rsid w:val="009F16F3"/>
    <w:rsid w:val="009F2CF7"/>
    <w:rsid w:val="00A01163"/>
    <w:rsid w:val="00A04F95"/>
    <w:rsid w:val="00A121A0"/>
    <w:rsid w:val="00A16800"/>
    <w:rsid w:val="00A2022F"/>
    <w:rsid w:val="00A26601"/>
    <w:rsid w:val="00A33670"/>
    <w:rsid w:val="00A33E5F"/>
    <w:rsid w:val="00A36045"/>
    <w:rsid w:val="00A41732"/>
    <w:rsid w:val="00A4551E"/>
    <w:rsid w:val="00A509F6"/>
    <w:rsid w:val="00A5132D"/>
    <w:rsid w:val="00A54834"/>
    <w:rsid w:val="00A56BB7"/>
    <w:rsid w:val="00A60D60"/>
    <w:rsid w:val="00A63B29"/>
    <w:rsid w:val="00A64468"/>
    <w:rsid w:val="00A72249"/>
    <w:rsid w:val="00A72595"/>
    <w:rsid w:val="00A84A26"/>
    <w:rsid w:val="00A872E2"/>
    <w:rsid w:val="00A87F03"/>
    <w:rsid w:val="00A91C12"/>
    <w:rsid w:val="00A92110"/>
    <w:rsid w:val="00A93AAD"/>
    <w:rsid w:val="00A944E0"/>
    <w:rsid w:val="00AA005F"/>
    <w:rsid w:val="00AA1489"/>
    <w:rsid w:val="00AA3B39"/>
    <w:rsid w:val="00AA6E02"/>
    <w:rsid w:val="00AA707C"/>
    <w:rsid w:val="00AB3EE0"/>
    <w:rsid w:val="00AB41EE"/>
    <w:rsid w:val="00AB5F4B"/>
    <w:rsid w:val="00AB6617"/>
    <w:rsid w:val="00AC132F"/>
    <w:rsid w:val="00AC4C2A"/>
    <w:rsid w:val="00AC65CB"/>
    <w:rsid w:val="00AC7375"/>
    <w:rsid w:val="00AD2829"/>
    <w:rsid w:val="00AD4591"/>
    <w:rsid w:val="00AD63DB"/>
    <w:rsid w:val="00AD6C01"/>
    <w:rsid w:val="00AD700A"/>
    <w:rsid w:val="00AD712D"/>
    <w:rsid w:val="00AE0F9E"/>
    <w:rsid w:val="00AE54F3"/>
    <w:rsid w:val="00AE5AF9"/>
    <w:rsid w:val="00AE7C90"/>
    <w:rsid w:val="00AF4093"/>
    <w:rsid w:val="00AF4B8F"/>
    <w:rsid w:val="00B1414D"/>
    <w:rsid w:val="00B14420"/>
    <w:rsid w:val="00B1684C"/>
    <w:rsid w:val="00B20235"/>
    <w:rsid w:val="00B229E4"/>
    <w:rsid w:val="00B25D85"/>
    <w:rsid w:val="00B2787B"/>
    <w:rsid w:val="00B320E9"/>
    <w:rsid w:val="00B3405C"/>
    <w:rsid w:val="00B36948"/>
    <w:rsid w:val="00B37488"/>
    <w:rsid w:val="00B37E15"/>
    <w:rsid w:val="00B40D1E"/>
    <w:rsid w:val="00B40F93"/>
    <w:rsid w:val="00B411A7"/>
    <w:rsid w:val="00B427A7"/>
    <w:rsid w:val="00B430B5"/>
    <w:rsid w:val="00B43FBD"/>
    <w:rsid w:val="00B45CC6"/>
    <w:rsid w:val="00B5178B"/>
    <w:rsid w:val="00B51F01"/>
    <w:rsid w:val="00B5203A"/>
    <w:rsid w:val="00B54D6C"/>
    <w:rsid w:val="00B57AA7"/>
    <w:rsid w:val="00B64137"/>
    <w:rsid w:val="00B70348"/>
    <w:rsid w:val="00B81356"/>
    <w:rsid w:val="00B90A92"/>
    <w:rsid w:val="00B96861"/>
    <w:rsid w:val="00BA04C8"/>
    <w:rsid w:val="00BA2829"/>
    <w:rsid w:val="00BA2B9D"/>
    <w:rsid w:val="00BA2C5F"/>
    <w:rsid w:val="00BA2E92"/>
    <w:rsid w:val="00BA590C"/>
    <w:rsid w:val="00BA72AC"/>
    <w:rsid w:val="00BC02D2"/>
    <w:rsid w:val="00BC3C2D"/>
    <w:rsid w:val="00BC3E98"/>
    <w:rsid w:val="00BC3EA4"/>
    <w:rsid w:val="00BC6AB6"/>
    <w:rsid w:val="00BD01F7"/>
    <w:rsid w:val="00BD19DE"/>
    <w:rsid w:val="00BD3713"/>
    <w:rsid w:val="00BD5E55"/>
    <w:rsid w:val="00BD6B92"/>
    <w:rsid w:val="00BD7A86"/>
    <w:rsid w:val="00BD7F08"/>
    <w:rsid w:val="00BE526C"/>
    <w:rsid w:val="00BE785E"/>
    <w:rsid w:val="00BF0FE4"/>
    <w:rsid w:val="00BF38BF"/>
    <w:rsid w:val="00BF4965"/>
    <w:rsid w:val="00BF7775"/>
    <w:rsid w:val="00C02AB2"/>
    <w:rsid w:val="00C030F3"/>
    <w:rsid w:val="00C23E4C"/>
    <w:rsid w:val="00C2562E"/>
    <w:rsid w:val="00C26DF6"/>
    <w:rsid w:val="00C277A5"/>
    <w:rsid w:val="00C3004A"/>
    <w:rsid w:val="00C30BC4"/>
    <w:rsid w:val="00C30F6D"/>
    <w:rsid w:val="00C31363"/>
    <w:rsid w:val="00C325FB"/>
    <w:rsid w:val="00C3744E"/>
    <w:rsid w:val="00C37CE9"/>
    <w:rsid w:val="00C41B15"/>
    <w:rsid w:val="00C42888"/>
    <w:rsid w:val="00C43D00"/>
    <w:rsid w:val="00C441A3"/>
    <w:rsid w:val="00C446C1"/>
    <w:rsid w:val="00C452EC"/>
    <w:rsid w:val="00C4558E"/>
    <w:rsid w:val="00C47C28"/>
    <w:rsid w:val="00C610FA"/>
    <w:rsid w:val="00C71D96"/>
    <w:rsid w:val="00C815A3"/>
    <w:rsid w:val="00C82166"/>
    <w:rsid w:val="00C84BCC"/>
    <w:rsid w:val="00C85EFC"/>
    <w:rsid w:val="00C8636B"/>
    <w:rsid w:val="00C86FA2"/>
    <w:rsid w:val="00C87B75"/>
    <w:rsid w:val="00C87CE8"/>
    <w:rsid w:val="00C9053D"/>
    <w:rsid w:val="00C9116F"/>
    <w:rsid w:val="00C919E1"/>
    <w:rsid w:val="00C946AC"/>
    <w:rsid w:val="00C96E1C"/>
    <w:rsid w:val="00C979FF"/>
    <w:rsid w:val="00CA0B7F"/>
    <w:rsid w:val="00CA59B7"/>
    <w:rsid w:val="00CC39BB"/>
    <w:rsid w:val="00CC6388"/>
    <w:rsid w:val="00CD2385"/>
    <w:rsid w:val="00CD3358"/>
    <w:rsid w:val="00CD63D5"/>
    <w:rsid w:val="00CE08B4"/>
    <w:rsid w:val="00CE1ADF"/>
    <w:rsid w:val="00CE3455"/>
    <w:rsid w:val="00CF02B8"/>
    <w:rsid w:val="00CF4501"/>
    <w:rsid w:val="00CF5DAE"/>
    <w:rsid w:val="00D0060A"/>
    <w:rsid w:val="00D15237"/>
    <w:rsid w:val="00D1652E"/>
    <w:rsid w:val="00D174DE"/>
    <w:rsid w:val="00D21BF8"/>
    <w:rsid w:val="00D23946"/>
    <w:rsid w:val="00D24E12"/>
    <w:rsid w:val="00D40307"/>
    <w:rsid w:val="00D523F2"/>
    <w:rsid w:val="00D53547"/>
    <w:rsid w:val="00D53E95"/>
    <w:rsid w:val="00D554F5"/>
    <w:rsid w:val="00D57CE2"/>
    <w:rsid w:val="00D64031"/>
    <w:rsid w:val="00D72461"/>
    <w:rsid w:val="00D73D1D"/>
    <w:rsid w:val="00D756E3"/>
    <w:rsid w:val="00D8059A"/>
    <w:rsid w:val="00D925A1"/>
    <w:rsid w:val="00D930BD"/>
    <w:rsid w:val="00D93136"/>
    <w:rsid w:val="00D947C6"/>
    <w:rsid w:val="00DA582E"/>
    <w:rsid w:val="00DB10BC"/>
    <w:rsid w:val="00DB1FD4"/>
    <w:rsid w:val="00DB5539"/>
    <w:rsid w:val="00DC3A8B"/>
    <w:rsid w:val="00DC6C2B"/>
    <w:rsid w:val="00DD08AE"/>
    <w:rsid w:val="00DD34CC"/>
    <w:rsid w:val="00DE13A6"/>
    <w:rsid w:val="00DE2EAA"/>
    <w:rsid w:val="00DE6A63"/>
    <w:rsid w:val="00DF2A92"/>
    <w:rsid w:val="00DF500A"/>
    <w:rsid w:val="00E01254"/>
    <w:rsid w:val="00E07E0C"/>
    <w:rsid w:val="00E11DAF"/>
    <w:rsid w:val="00E123CC"/>
    <w:rsid w:val="00E1554A"/>
    <w:rsid w:val="00E17B6B"/>
    <w:rsid w:val="00E22768"/>
    <w:rsid w:val="00E23CC2"/>
    <w:rsid w:val="00E23DD2"/>
    <w:rsid w:val="00E24B99"/>
    <w:rsid w:val="00E25AED"/>
    <w:rsid w:val="00E25E47"/>
    <w:rsid w:val="00E27891"/>
    <w:rsid w:val="00E303AB"/>
    <w:rsid w:val="00E3075E"/>
    <w:rsid w:val="00E317A8"/>
    <w:rsid w:val="00E32B32"/>
    <w:rsid w:val="00E341EA"/>
    <w:rsid w:val="00E34DA8"/>
    <w:rsid w:val="00E3571F"/>
    <w:rsid w:val="00E35D42"/>
    <w:rsid w:val="00E35DC4"/>
    <w:rsid w:val="00E361A0"/>
    <w:rsid w:val="00E374DA"/>
    <w:rsid w:val="00E40570"/>
    <w:rsid w:val="00E458BF"/>
    <w:rsid w:val="00E47A75"/>
    <w:rsid w:val="00E504C6"/>
    <w:rsid w:val="00E54A70"/>
    <w:rsid w:val="00E574D0"/>
    <w:rsid w:val="00E63951"/>
    <w:rsid w:val="00E658C9"/>
    <w:rsid w:val="00E7664F"/>
    <w:rsid w:val="00E806F0"/>
    <w:rsid w:val="00E84DCB"/>
    <w:rsid w:val="00E92117"/>
    <w:rsid w:val="00E92FC6"/>
    <w:rsid w:val="00E935D3"/>
    <w:rsid w:val="00EA164B"/>
    <w:rsid w:val="00EA3643"/>
    <w:rsid w:val="00EA566E"/>
    <w:rsid w:val="00EB5E92"/>
    <w:rsid w:val="00EB7977"/>
    <w:rsid w:val="00EC2A7B"/>
    <w:rsid w:val="00EC2AFB"/>
    <w:rsid w:val="00EC4148"/>
    <w:rsid w:val="00EC4C25"/>
    <w:rsid w:val="00EC5E0F"/>
    <w:rsid w:val="00EE1555"/>
    <w:rsid w:val="00EE211B"/>
    <w:rsid w:val="00EE6C4C"/>
    <w:rsid w:val="00EF31A0"/>
    <w:rsid w:val="00EF3C0C"/>
    <w:rsid w:val="00EF74BB"/>
    <w:rsid w:val="00EF7FC5"/>
    <w:rsid w:val="00F018CE"/>
    <w:rsid w:val="00F027CE"/>
    <w:rsid w:val="00F03ACE"/>
    <w:rsid w:val="00F044B7"/>
    <w:rsid w:val="00F073D1"/>
    <w:rsid w:val="00F11856"/>
    <w:rsid w:val="00F12F79"/>
    <w:rsid w:val="00F137C8"/>
    <w:rsid w:val="00F13ABE"/>
    <w:rsid w:val="00F1615F"/>
    <w:rsid w:val="00F1717D"/>
    <w:rsid w:val="00F225AC"/>
    <w:rsid w:val="00F2393A"/>
    <w:rsid w:val="00F25C78"/>
    <w:rsid w:val="00F32893"/>
    <w:rsid w:val="00F32F04"/>
    <w:rsid w:val="00F37540"/>
    <w:rsid w:val="00F37F35"/>
    <w:rsid w:val="00F430DC"/>
    <w:rsid w:val="00F439F3"/>
    <w:rsid w:val="00F5189A"/>
    <w:rsid w:val="00F60AF9"/>
    <w:rsid w:val="00F61905"/>
    <w:rsid w:val="00F63639"/>
    <w:rsid w:val="00F672E5"/>
    <w:rsid w:val="00F77014"/>
    <w:rsid w:val="00F77B2E"/>
    <w:rsid w:val="00F8160B"/>
    <w:rsid w:val="00F82469"/>
    <w:rsid w:val="00F8465A"/>
    <w:rsid w:val="00F856CA"/>
    <w:rsid w:val="00F86DDF"/>
    <w:rsid w:val="00FA04AF"/>
    <w:rsid w:val="00FB4052"/>
    <w:rsid w:val="00FB6C41"/>
    <w:rsid w:val="00FB72EB"/>
    <w:rsid w:val="00FB751F"/>
    <w:rsid w:val="00FB772F"/>
    <w:rsid w:val="00FC147C"/>
    <w:rsid w:val="00FC5DDB"/>
    <w:rsid w:val="00FD05E7"/>
    <w:rsid w:val="00FD40C8"/>
    <w:rsid w:val="00FD5BAA"/>
    <w:rsid w:val="00FE1789"/>
    <w:rsid w:val="00FE7F2A"/>
    <w:rsid w:val="00FF0A8A"/>
    <w:rsid w:val="00FF3F0B"/>
    <w:rsid w:val="087CB34C"/>
    <w:rsid w:val="0C133A41"/>
    <w:rsid w:val="169EDFB9"/>
    <w:rsid w:val="34CD60FF"/>
    <w:rsid w:val="4B395D19"/>
    <w:rsid w:val="582997E1"/>
    <w:rsid w:val="5BEC3255"/>
    <w:rsid w:val="65195717"/>
    <w:rsid w:val="6C717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640CF"/>
  <w15:chartTrackingRefBased/>
  <w15:docId w15:val="{004639E1-292B-4C10-AEE7-5FCC782A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40"/>
    <w:pPr>
      <w:spacing w:after="0" w:line="240" w:lineRule="auto"/>
    </w:pPr>
    <w:rPr>
      <w:rFonts w:ascii="Arial" w:hAnsi="Arial"/>
      <w:sz w:val="24"/>
    </w:rPr>
  </w:style>
  <w:style w:type="paragraph" w:styleId="Heading1">
    <w:name w:val="heading 1"/>
    <w:basedOn w:val="Normal"/>
    <w:next w:val="Normal"/>
    <w:link w:val="Heading1Char"/>
    <w:uiPriority w:val="9"/>
    <w:qFormat/>
    <w:rsid w:val="007E7D42"/>
    <w:pPr>
      <w:spacing w:before="120" w:after="120" w:line="360" w:lineRule="auto"/>
      <w:outlineLvl w:val="0"/>
    </w:pPr>
    <w:rPr>
      <w:b/>
      <w:bCs/>
    </w:rPr>
  </w:style>
  <w:style w:type="paragraph" w:styleId="Heading2">
    <w:name w:val="heading 2"/>
    <w:basedOn w:val="Normal"/>
    <w:next w:val="Normal"/>
    <w:link w:val="Heading2Char"/>
    <w:uiPriority w:val="9"/>
    <w:unhideWhenUsed/>
    <w:qFormat/>
    <w:rsid w:val="007E7D42"/>
    <w:pPr>
      <w:spacing w:before="120" w:after="120"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D42"/>
    <w:rPr>
      <w:rFonts w:ascii="Arial" w:hAnsi="Arial"/>
      <w:b/>
      <w:bCs/>
      <w:sz w:val="24"/>
    </w:rPr>
  </w:style>
  <w:style w:type="character" w:customStyle="1" w:styleId="Heading2Char">
    <w:name w:val="Heading 2 Char"/>
    <w:basedOn w:val="DefaultParagraphFont"/>
    <w:link w:val="Heading2"/>
    <w:uiPriority w:val="9"/>
    <w:rsid w:val="007E7D42"/>
    <w:rPr>
      <w:rFonts w:ascii="Arial" w:hAnsi="Arial"/>
      <w:b/>
      <w:bCs/>
      <w:sz w:val="24"/>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table" w:styleId="TableGrid">
    <w:name w:val="Table Grid"/>
    <w:basedOn w:val="TableNormal"/>
    <w:uiPriority w:val="39"/>
    <w:rsid w:val="0020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237B"/>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785692"/>
    <w:rPr>
      <w:sz w:val="16"/>
      <w:szCs w:val="16"/>
    </w:rPr>
  </w:style>
  <w:style w:type="paragraph" w:styleId="CommentText">
    <w:name w:val="annotation text"/>
    <w:basedOn w:val="Normal"/>
    <w:link w:val="CommentTextChar"/>
    <w:uiPriority w:val="99"/>
    <w:unhideWhenUsed/>
    <w:rsid w:val="00785692"/>
    <w:rPr>
      <w:sz w:val="20"/>
      <w:szCs w:val="20"/>
    </w:rPr>
  </w:style>
  <w:style w:type="character" w:customStyle="1" w:styleId="CommentTextChar">
    <w:name w:val="Comment Text Char"/>
    <w:basedOn w:val="DefaultParagraphFont"/>
    <w:link w:val="CommentText"/>
    <w:uiPriority w:val="99"/>
    <w:rsid w:val="007856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5692"/>
    <w:rPr>
      <w:b/>
      <w:bCs/>
    </w:rPr>
  </w:style>
  <w:style w:type="character" w:customStyle="1" w:styleId="CommentSubjectChar">
    <w:name w:val="Comment Subject Char"/>
    <w:basedOn w:val="CommentTextChar"/>
    <w:link w:val="CommentSubject"/>
    <w:uiPriority w:val="99"/>
    <w:semiHidden/>
    <w:rsid w:val="00785692"/>
    <w:rPr>
      <w:rFonts w:ascii="Arial" w:hAnsi="Arial"/>
      <w:b/>
      <w:bCs/>
      <w:sz w:val="20"/>
      <w:szCs w:val="20"/>
    </w:rPr>
  </w:style>
  <w:style w:type="character" w:styleId="Hyperlink">
    <w:name w:val="Hyperlink"/>
    <w:basedOn w:val="DefaultParagraphFont"/>
    <w:uiPriority w:val="99"/>
    <w:unhideWhenUsed/>
    <w:rsid w:val="00D523F2"/>
    <w:rPr>
      <w:color w:val="0563C1" w:themeColor="hyperlink"/>
      <w:u w:val="single"/>
    </w:rPr>
  </w:style>
  <w:style w:type="character" w:styleId="UnresolvedMention">
    <w:name w:val="Unresolved Mention"/>
    <w:basedOn w:val="DefaultParagraphFont"/>
    <w:uiPriority w:val="99"/>
    <w:semiHidden/>
    <w:unhideWhenUsed/>
    <w:rsid w:val="00D523F2"/>
    <w:rPr>
      <w:color w:val="605E5C"/>
      <w:shd w:val="clear" w:color="auto" w:fill="E1DFDD"/>
    </w:rPr>
  </w:style>
  <w:style w:type="paragraph" w:styleId="Header">
    <w:name w:val="header"/>
    <w:basedOn w:val="Normal"/>
    <w:link w:val="HeaderChar"/>
    <w:uiPriority w:val="99"/>
    <w:rsid w:val="009C765A"/>
    <w:pPr>
      <w:tabs>
        <w:tab w:val="center" w:pos="4153"/>
        <w:tab w:val="right" w:pos="8306"/>
      </w:tabs>
    </w:pPr>
    <w:rPr>
      <w:rFonts w:eastAsia="Times New Roman" w:cs="Times New Roman"/>
      <w:szCs w:val="24"/>
    </w:rPr>
  </w:style>
  <w:style w:type="character" w:customStyle="1" w:styleId="HeaderChar">
    <w:name w:val="Header Char"/>
    <w:basedOn w:val="DefaultParagraphFont"/>
    <w:link w:val="Header"/>
    <w:uiPriority w:val="99"/>
    <w:rsid w:val="009C765A"/>
    <w:rPr>
      <w:rFonts w:ascii="Arial" w:eastAsia="Times New Roman" w:hAnsi="Arial" w:cs="Times New Roman"/>
      <w:sz w:val="24"/>
      <w:szCs w:val="24"/>
    </w:rPr>
  </w:style>
  <w:style w:type="paragraph" w:styleId="Footer">
    <w:name w:val="footer"/>
    <w:basedOn w:val="Normal"/>
    <w:link w:val="FooterChar"/>
    <w:uiPriority w:val="99"/>
    <w:rsid w:val="009C765A"/>
    <w:pPr>
      <w:tabs>
        <w:tab w:val="center" w:pos="4153"/>
        <w:tab w:val="right" w:pos="8306"/>
      </w:tabs>
    </w:pPr>
    <w:rPr>
      <w:rFonts w:eastAsia="Times New Roman" w:cs="Times New Roman"/>
      <w:szCs w:val="24"/>
    </w:rPr>
  </w:style>
  <w:style w:type="character" w:customStyle="1" w:styleId="FooterChar">
    <w:name w:val="Footer Char"/>
    <w:basedOn w:val="DefaultParagraphFont"/>
    <w:link w:val="Footer"/>
    <w:uiPriority w:val="99"/>
    <w:rsid w:val="009C765A"/>
    <w:rPr>
      <w:rFonts w:ascii="Arial" w:eastAsia="Times New Roman" w:hAnsi="Arial" w:cs="Times New Roman"/>
      <w:sz w:val="24"/>
      <w:szCs w:val="24"/>
    </w:rPr>
  </w:style>
  <w:style w:type="paragraph" w:styleId="BodyText2">
    <w:name w:val="Body Text 2"/>
    <w:basedOn w:val="Normal"/>
    <w:link w:val="BodyText2Char"/>
    <w:uiPriority w:val="99"/>
    <w:rsid w:val="009C765A"/>
    <w:pPr>
      <w:jc w:val="center"/>
    </w:pPr>
    <w:rPr>
      <w:rFonts w:ascii="Calibri" w:eastAsia="Calibri" w:hAnsi="Calibri" w:cs="Times New Roman"/>
      <w:sz w:val="20"/>
      <w:szCs w:val="20"/>
      <w:lang w:val="x-none"/>
    </w:rPr>
  </w:style>
  <w:style w:type="character" w:customStyle="1" w:styleId="BodyText2Char">
    <w:name w:val="Body Text 2 Char"/>
    <w:basedOn w:val="DefaultParagraphFont"/>
    <w:link w:val="BodyText2"/>
    <w:uiPriority w:val="99"/>
    <w:rsid w:val="009C765A"/>
    <w:rPr>
      <w:rFonts w:ascii="Calibri" w:eastAsia="Calibri" w:hAnsi="Calibri" w:cs="Times New Roman"/>
      <w:sz w:val="20"/>
      <w:szCs w:val="20"/>
      <w:lang w:val="x-none"/>
    </w:rPr>
  </w:style>
  <w:style w:type="paragraph" w:customStyle="1" w:styleId="paragraph">
    <w:name w:val="paragraph"/>
    <w:basedOn w:val="Normal"/>
    <w:rsid w:val="000530B5"/>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530B5"/>
  </w:style>
  <w:style w:type="character" w:customStyle="1" w:styleId="eop">
    <w:name w:val="eop"/>
    <w:basedOn w:val="DefaultParagraphFont"/>
    <w:rsid w:val="000530B5"/>
  </w:style>
  <w:style w:type="character" w:styleId="FollowedHyperlink">
    <w:name w:val="FollowedHyperlink"/>
    <w:basedOn w:val="DefaultParagraphFont"/>
    <w:uiPriority w:val="99"/>
    <w:semiHidden/>
    <w:unhideWhenUsed/>
    <w:rsid w:val="005A1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6382">
      <w:bodyDiv w:val="1"/>
      <w:marLeft w:val="0"/>
      <w:marRight w:val="0"/>
      <w:marTop w:val="0"/>
      <w:marBottom w:val="0"/>
      <w:divBdr>
        <w:top w:val="none" w:sz="0" w:space="0" w:color="auto"/>
        <w:left w:val="none" w:sz="0" w:space="0" w:color="auto"/>
        <w:bottom w:val="none" w:sz="0" w:space="0" w:color="auto"/>
        <w:right w:val="none" w:sz="0" w:space="0" w:color="auto"/>
      </w:divBdr>
      <w:divsChild>
        <w:div w:id="36053729">
          <w:marLeft w:val="0"/>
          <w:marRight w:val="0"/>
          <w:marTop w:val="0"/>
          <w:marBottom w:val="0"/>
          <w:divBdr>
            <w:top w:val="none" w:sz="0" w:space="0" w:color="auto"/>
            <w:left w:val="none" w:sz="0" w:space="0" w:color="auto"/>
            <w:bottom w:val="none" w:sz="0" w:space="0" w:color="auto"/>
            <w:right w:val="none" w:sz="0" w:space="0" w:color="auto"/>
          </w:divBdr>
        </w:div>
        <w:div w:id="306250260">
          <w:marLeft w:val="0"/>
          <w:marRight w:val="0"/>
          <w:marTop w:val="0"/>
          <w:marBottom w:val="0"/>
          <w:divBdr>
            <w:top w:val="none" w:sz="0" w:space="0" w:color="auto"/>
            <w:left w:val="none" w:sz="0" w:space="0" w:color="auto"/>
            <w:bottom w:val="none" w:sz="0" w:space="0" w:color="auto"/>
            <w:right w:val="none" w:sz="0" w:space="0" w:color="auto"/>
          </w:divBdr>
        </w:div>
        <w:div w:id="345180845">
          <w:marLeft w:val="0"/>
          <w:marRight w:val="0"/>
          <w:marTop w:val="0"/>
          <w:marBottom w:val="0"/>
          <w:divBdr>
            <w:top w:val="none" w:sz="0" w:space="0" w:color="auto"/>
            <w:left w:val="none" w:sz="0" w:space="0" w:color="auto"/>
            <w:bottom w:val="none" w:sz="0" w:space="0" w:color="auto"/>
            <w:right w:val="none" w:sz="0" w:space="0" w:color="auto"/>
          </w:divBdr>
        </w:div>
        <w:div w:id="371736683">
          <w:marLeft w:val="0"/>
          <w:marRight w:val="0"/>
          <w:marTop w:val="0"/>
          <w:marBottom w:val="0"/>
          <w:divBdr>
            <w:top w:val="none" w:sz="0" w:space="0" w:color="auto"/>
            <w:left w:val="none" w:sz="0" w:space="0" w:color="auto"/>
            <w:bottom w:val="none" w:sz="0" w:space="0" w:color="auto"/>
            <w:right w:val="none" w:sz="0" w:space="0" w:color="auto"/>
          </w:divBdr>
        </w:div>
        <w:div w:id="399447268">
          <w:marLeft w:val="0"/>
          <w:marRight w:val="0"/>
          <w:marTop w:val="0"/>
          <w:marBottom w:val="0"/>
          <w:divBdr>
            <w:top w:val="none" w:sz="0" w:space="0" w:color="auto"/>
            <w:left w:val="none" w:sz="0" w:space="0" w:color="auto"/>
            <w:bottom w:val="none" w:sz="0" w:space="0" w:color="auto"/>
            <w:right w:val="none" w:sz="0" w:space="0" w:color="auto"/>
          </w:divBdr>
        </w:div>
        <w:div w:id="452020508">
          <w:marLeft w:val="0"/>
          <w:marRight w:val="0"/>
          <w:marTop w:val="0"/>
          <w:marBottom w:val="0"/>
          <w:divBdr>
            <w:top w:val="none" w:sz="0" w:space="0" w:color="auto"/>
            <w:left w:val="none" w:sz="0" w:space="0" w:color="auto"/>
            <w:bottom w:val="none" w:sz="0" w:space="0" w:color="auto"/>
            <w:right w:val="none" w:sz="0" w:space="0" w:color="auto"/>
          </w:divBdr>
        </w:div>
        <w:div w:id="462432431">
          <w:marLeft w:val="0"/>
          <w:marRight w:val="0"/>
          <w:marTop w:val="0"/>
          <w:marBottom w:val="0"/>
          <w:divBdr>
            <w:top w:val="none" w:sz="0" w:space="0" w:color="auto"/>
            <w:left w:val="none" w:sz="0" w:space="0" w:color="auto"/>
            <w:bottom w:val="none" w:sz="0" w:space="0" w:color="auto"/>
            <w:right w:val="none" w:sz="0" w:space="0" w:color="auto"/>
          </w:divBdr>
        </w:div>
        <w:div w:id="812218383">
          <w:marLeft w:val="0"/>
          <w:marRight w:val="0"/>
          <w:marTop w:val="0"/>
          <w:marBottom w:val="0"/>
          <w:divBdr>
            <w:top w:val="none" w:sz="0" w:space="0" w:color="auto"/>
            <w:left w:val="none" w:sz="0" w:space="0" w:color="auto"/>
            <w:bottom w:val="none" w:sz="0" w:space="0" w:color="auto"/>
            <w:right w:val="none" w:sz="0" w:space="0" w:color="auto"/>
          </w:divBdr>
        </w:div>
        <w:div w:id="848102733">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43823095">
          <w:marLeft w:val="0"/>
          <w:marRight w:val="0"/>
          <w:marTop w:val="0"/>
          <w:marBottom w:val="0"/>
          <w:divBdr>
            <w:top w:val="none" w:sz="0" w:space="0" w:color="auto"/>
            <w:left w:val="none" w:sz="0" w:space="0" w:color="auto"/>
            <w:bottom w:val="none" w:sz="0" w:space="0" w:color="auto"/>
            <w:right w:val="none" w:sz="0" w:space="0" w:color="auto"/>
          </w:divBdr>
        </w:div>
        <w:div w:id="1075781032">
          <w:marLeft w:val="0"/>
          <w:marRight w:val="0"/>
          <w:marTop w:val="0"/>
          <w:marBottom w:val="0"/>
          <w:divBdr>
            <w:top w:val="none" w:sz="0" w:space="0" w:color="auto"/>
            <w:left w:val="none" w:sz="0" w:space="0" w:color="auto"/>
            <w:bottom w:val="none" w:sz="0" w:space="0" w:color="auto"/>
            <w:right w:val="none" w:sz="0" w:space="0" w:color="auto"/>
          </w:divBdr>
        </w:div>
        <w:div w:id="1160577354">
          <w:marLeft w:val="0"/>
          <w:marRight w:val="0"/>
          <w:marTop w:val="0"/>
          <w:marBottom w:val="0"/>
          <w:divBdr>
            <w:top w:val="none" w:sz="0" w:space="0" w:color="auto"/>
            <w:left w:val="none" w:sz="0" w:space="0" w:color="auto"/>
            <w:bottom w:val="none" w:sz="0" w:space="0" w:color="auto"/>
            <w:right w:val="none" w:sz="0" w:space="0" w:color="auto"/>
          </w:divBdr>
        </w:div>
        <w:div w:id="1319458018">
          <w:marLeft w:val="0"/>
          <w:marRight w:val="0"/>
          <w:marTop w:val="0"/>
          <w:marBottom w:val="0"/>
          <w:divBdr>
            <w:top w:val="none" w:sz="0" w:space="0" w:color="auto"/>
            <w:left w:val="none" w:sz="0" w:space="0" w:color="auto"/>
            <w:bottom w:val="none" w:sz="0" w:space="0" w:color="auto"/>
            <w:right w:val="none" w:sz="0" w:space="0" w:color="auto"/>
          </w:divBdr>
        </w:div>
        <w:div w:id="1356811892">
          <w:marLeft w:val="0"/>
          <w:marRight w:val="0"/>
          <w:marTop w:val="0"/>
          <w:marBottom w:val="0"/>
          <w:divBdr>
            <w:top w:val="none" w:sz="0" w:space="0" w:color="auto"/>
            <w:left w:val="none" w:sz="0" w:space="0" w:color="auto"/>
            <w:bottom w:val="none" w:sz="0" w:space="0" w:color="auto"/>
            <w:right w:val="none" w:sz="0" w:space="0" w:color="auto"/>
          </w:divBdr>
          <w:divsChild>
            <w:div w:id="235677103">
              <w:marLeft w:val="0"/>
              <w:marRight w:val="0"/>
              <w:marTop w:val="0"/>
              <w:marBottom w:val="0"/>
              <w:divBdr>
                <w:top w:val="none" w:sz="0" w:space="0" w:color="auto"/>
                <w:left w:val="none" w:sz="0" w:space="0" w:color="auto"/>
                <w:bottom w:val="none" w:sz="0" w:space="0" w:color="auto"/>
                <w:right w:val="none" w:sz="0" w:space="0" w:color="auto"/>
              </w:divBdr>
            </w:div>
            <w:div w:id="474219984">
              <w:marLeft w:val="0"/>
              <w:marRight w:val="0"/>
              <w:marTop w:val="0"/>
              <w:marBottom w:val="0"/>
              <w:divBdr>
                <w:top w:val="none" w:sz="0" w:space="0" w:color="auto"/>
                <w:left w:val="none" w:sz="0" w:space="0" w:color="auto"/>
                <w:bottom w:val="none" w:sz="0" w:space="0" w:color="auto"/>
                <w:right w:val="none" w:sz="0" w:space="0" w:color="auto"/>
              </w:divBdr>
            </w:div>
            <w:div w:id="503322317">
              <w:marLeft w:val="0"/>
              <w:marRight w:val="0"/>
              <w:marTop w:val="0"/>
              <w:marBottom w:val="0"/>
              <w:divBdr>
                <w:top w:val="none" w:sz="0" w:space="0" w:color="auto"/>
                <w:left w:val="none" w:sz="0" w:space="0" w:color="auto"/>
                <w:bottom w:val="none" w:sz="0" w:space="0" w:color="auto"/>
                <w:right w:val="none" w:sz="0" w:space="0" w:color="auto"/>
              </w:divBdr>
            </w:div>
            <w:div w:id="1276714022">
              <w:marLeft w:val="0"/>
              <w:marRight w:val="0"/>
              <w:marTop w:val="0"/>
              <w:marBottom w:val="0"/>
              <w:divBdr>
                <w:top w:val="none" w:sz="0" w:space="0" w:color="auto"/>
                <w:left w:val="none" w:sz="0" w:space="0" w:color="auto"/>
                <w:bottom w:val="none" w:sz="0" w:space="0" w:color="auto"/>
                <w:right w:val="none" w:sz="0" w:space="0" w:color="auto"/>
              </w:divBdr>
            </w:div>
            <w:div w:id="1760370886">
              <w:marLeft w:val="0"/>
              <w:marRight w:val="0"/>
              <w:marTop w:val="0"/>
              <w:marBottom w:val="0"/>
              <w:divBdr>
                <w:top w:val="none" w:sz="0" w:space="0" w:color="auto"/>
                <w:left w:val="none" w:sz="0" w:space="0" w:color="auto"/>
                <w:bottom w:val="none" w:sz="0" w:space="0" w:color="auto"/>
                <w:right w:val="none" w:sz="0" w:space="0" w:color="auto"/>
              </w:divBdr>
            </w:div>
          </w:divsChild>
        </w:div>
        <w:div w:id="1359743893">
          <w:marLeft w:val="0"/>
          <w:marRight w:val="0"/>
          <w:marTop w:val="0"/>
          <w:marBottom w:val="0"/>
          <w:divBdr>
            <w:top w:val="none" w:sz="0" w:space="0" w:color="auto"/>
            <w:left w:val="none" w:sz="0" w:space="0" w:color="auto"/>
            <w:bottom w:val="none" w:sz="0" w:space="0" w:color="auto"/>
            <w:right w:val="none" w:sz="0" w:space="0" w:color="auto"/>
          </w:divBdr>
        </w:div>
        <w:div w:id="1384450167">
          <w:marLeft w:val="0"/>
          <w:marRight w:val="0"/>
          <w:marTop w:val="0"/>
          <w:marBottom w:val="0"/>
          <w:divBdr>
            <w:top w:val="none" w:sz="0" w:space="0" w:color="auto"/>
            <w:left w:val="none" w:sz="0" w:space="0" w:color="auto"/>
            <w:bottom w:val="none" w:sz="0" w:space="0" w:color="auto"/>
            <w:right w:val="none" w:sz="0" w:space="0" w:color="auto"/>
          </w:divBdr>
        </w:div>
        <w:div w:id="1460488689">
          <w:marLeft w:val="0"/>
          <w:marRight w:val="0"/>
          <w:marTop w:val="0"/>
          <w:marBottom w:val="0"/>
          <w:divBdr>
            <w:top w:val="none" w:sz="0" w:space="0" w:color="auto"/>
            <w:left w:val="none" w:sz="0" w:space="0" w:color="auto"/>
            <w:bottom w:val="none" w:sz="0" w:space="0" w:color="auto"/>
            <w:right w:val="none" w:sz="0" w:space="0" w:color="auto"/>
          </w:divBdr>
          <w:divsChild>
            <w:div w:id="311177285">
              <w:marLeft w:val="0"/>
              <w:marRight w:val="0"/>
              <w:marTop w:val="0"/>
              <w:marBottom w:val="0"/>
              <w:divBdr>
                <w:top w:val="none" w:sz="0" w:space="0" w:color="auto"/>
                <w:left w:val="none" w:sz="0" w:space="0" w:color="auto"/>
                <w:bottom w:val="none" w:sz="0" w:space="0" w:color="auto"/>
                <w:right w:val="none" w:sz="0" w:space="0" w:color="auto"/>
              </w:divBdr>
            </w:div>
            <w:div w:id="509492220">
              <w:marLeft w:val="0"/>
              <w:marRight w:val="0"/>
              <w:marTop w:val="0"/>
              <w:marBottom w:val="0"/>
              <w:divBdr>
                <w:top w:val="none" w:sz="0" w:space="0" w:color="auto"/>
                <w:left w:val="none" w:sz="0" w:space="0" w:color="auto"/>
                <w:bottom w:val="none" w:sz="0" w:space="0" w:color="auto"/>
                <w:right w:val="none" w:sz="0" w:space="0" w:color="auto"/>
              </w:divBdr>
            </w:div>
            <w:div w:id="933442737">
              <w:marLeft w:val="0"/>
              <w:marRight w:val="0"/>
              <w:marTop w:val="0"/>
              <w:marBottom w:val="0"/>
              <w:divBdr>
                <w:top w:val="none" w:sz="0" w:space="0" w:color="auto"/>
                <w:left w:val="none" w:sz="0" w:space="0" w:color="auto"/>
                <w:bottom w:val="none" w:sz="0" w:space="0" w:color="auto"/>
                <w:right w:val="none" w:sz="0" w:space="0" w:color="auto"/>
              </w:divBdr>
            </w:div>
            <w:div w:id="1539775122">
              <w:marLeft w:val="0"/>
              <w:marRight w:val="0"/>
              <w:marTop w:val="0"/>
              <w:marBottom w:val="0"/>
              <w:divBdr>
                <w:top w:val="none" w:sz="0" w:space="0" w:color="auto"/>
                <w:left w:val="none" w:sz="0" w:space="0" w:color="auto"/>
                <w:bottom w:val="none" w:sz="0" w:space="0" w:color="auto"/>
                <w:right w:val="none" w:sz="0" w:space="0" w:color="auto"/>
              </w:divBdr>
            </w:div>
            <w:div w:id="1685590280">
              <w:marLeft w:val="0"/>
              <w:marRight w:val="0"/>
              <w:marTop w:val="0"/>
              <w:marBottom w:val="0"/>
              <w:divBdr>
                <w:top w:val="none" w:sz="0" w:space="0" w:color="auto"/>
                <w:left w:val="none" w:sz="0" w:space="0" w:color="auto"/>
                <w:bottom w:val="none" w:sz="0" w:space="0" w:color="auto"/>
                <w:right w:val="none" w:sz="0" w:space="0" w:color="auto"/>
              </w:divBdr>
            </w:div>
          </w:divsChild>
        </w:div>
        <w:div w:id="1482500170">
          <w:marLeft w:val="0"/>
          <w:marRight w:val="0"/>
          <w:marTop w:val="0"/>
          <w:marBottom w:val="0"/>
          <w:divBdr>
            <w:top w:val="none" w:sz="0" w:space="0" w:color="auto"/>
            <w:left w:val="none" w:sz="0" w:space="0" w:color="auto"/>
            <w:bottom w:val="none" w:sz="0" w:space="0" w:color="auto"/>
            <w:right w:val="none" w:sz="0" w:space="0" w:color="auto"/>
          </w:divBdr>
        </w:div>
        <w:div w:id="1534536077">
          <w:marLeft w:val="0"/>
          <w:marRight w:val="0"/>
          <w:marTop w:val="0"/>
          <w:marBottom w:val="0"/>
          <w:divBdr>
            <w:top w:val="none" w:sz="0" w:space="0" w:color="auto"/>
            <w:left w:val="none" w:sz="0" w:space="0" w:color="auto"/>
            <w:bottom w:val="none" w:sz="0" w:space="0" w:color="auto"/>
            <w:right w:val="none" w:sz="0" w:space="0" w:color="auto"/>
          </w:divBdr>
        </w:div>
        <w:div w:id="1563172587">
          <w:marLeft w:val="0"/>
          <w:marRight w:val="0"/>
          <w:marTop w:val="0"/>
          <w:marBottom w:val="0"/>
          <w:divBdr>
            <w:top w:val="none" w:sz="0" w:space="0" w:color="auto"/>
            <w:left w:val="none" w:sz="0" w:space="0" w:color="auto"/>
            <w:bottom w:val="none" w:sz="0" w:space="0" w:color="auto"/>
            <w:right w:val="none" w:sz="0" w:space="0" w:color="auto"/>
          </w:divBdr>
        </w:div>
        <w:div w:id="1840122407">
          <w:marLeft w:val="0"/>
          <w:marRight w:val="0"/>
          <w:marTop w:val="0"/>
          <w:marBottom w:val="0"/>
          <w:divBdr>
            <w:top w:val="none" w:sz="0" w:space="0" w:color="auto"/>
            <w:left w:val="none" w:sz="0" w:space="0" w:color="auto"/>
            <w:bottom w:val="none" w:sz="0" w:space="0" w:color="auto"/>
            <w:right w:val="none" w:sz="0" w:space="0" w:color="auto"/>
          </w:divBdr>
        </w:div>
        <w:div w:id="1860049303">
          <w:marLeft w:val="0"/>
          <w:marRight w:val="0"/>
          <w:marTop w:val="0"/>
          <w:marBottom w:val="0"/>
          <w:divBdr>
            <w:top w:val="none" w:sz="0" w:space="0" w:color="auto"/>
            <w:left w:val="none" w:sz="0" w:space="0" w:color="auto"/>
            <w:bottom w:val="none" w:sz="0" w:space="0" w:color="auto"/>
            <w:right w:val="none" w:sz="0" w:space="0" w:color="auto"/>
          </w:divBdr>
        </w:div>
        <w:div w:id="2024744393">
          <w:marLeft w:val="0"/>
          <w:marRight w:val="0"/>
          <w:marTop w:val="0"/>
          <w:marBottom w:val="0"/>
          <w:divBdr>
            <w:top w:val="none" w:sz="0" w:space="0" w:color="auto"/>
            <w:left w:val="none" w:sz="0" w:space="0" w:color="auto"/>
            <w:bottom w:val="none" w:sz="0" w:space="0" w:color="auto"/>
            <w:right w:val="none" w:sz="0" w:space="0" w:color="auto"/>
          </w:divBdr>
        </w:div>
        <w:div w:id="2063944691">
          <w:marLeft w:val="0"/>
          <w:marRight w:val="0"/>
          <w:marTop w:val="0"/>
          <w:marBottom w:val="0"/>
          <w:divBdr>
            <w:top w:val="none" w:sz="0" w:space="0" w:color="auto"/>
            <w:left w:val="none" w:sz="0" w:space="0" w:color="auto"/>
            <w:bottom w:val="none" w:sz="0" w:space="0" w:color="auto"/>
            <w:right w:val="none" w:sz="0" w:space="0" w:color="auto"/>
          </w:divBdr>
        </w:div>
      </w:divsChild>
    </w:div>
    <w:div w:id="995766277">
      <w:bodyDiv w:val="1"/>
      <w:marLeft w:val="0"/>
      <w:marRight w:val="0"/>
      <w:marTop w:val="0"/>
      <w:marBottom w:val="0"/>
      <w:divBdr>
        <w:top w:val="none" w:sz="0" w:space="0" w:color="auto"/>
        <w:left w:val="none" w:sz="0" w:space="0" w:color="auto"/>
        <w:bottom w:val="none" w:sz="0" w:space="0" w:color="auto"/>
        <w:right w:val="none" w:sz="0" w:space="0" w:color="auto"/>
      </w:divBdr>
      <w:divsChild>
        <w:div w:id="92089706">
          <w:marLeft w:val="0"/>
          <w:marRight w:val="0"/>
          <w:marTop w:val="0"/>
          <w:marBottom w:val="0"/>
          <w:divBdr>
            <w:top w:val="none" w:sz="0" w:space="0" w:color="auto"/>
            <w:left w:val="none" w:sz="0" w:space="0" w:color="auto"/>
            <w:bottom w:val="none" w:sz="0" w:space="0" w:color="auto"/>
            <w:right w:val="none" w:sz="0" w:space="0" w:color="auto"/>
          </w:divBdr>
        </w:div>
        <w:div w:id="312413901">
          <w:marLeft w:val="0"/>
          <w:marRight w:val="0"/>
          <w:marTop w:val="0"/>
          <w:marBottom w:val="0"/>
          <w:divBdr>
            <w:top w:val="none" w:sz="0" w:space="0" w:color="auto"/>
            <w:left w:val="none" w:sz="0" w:space="0" w:color="auto"/>
            <w:bottom w:val="none" w:sz="0" w:space="0" w:color="auto"/>
            <w:right w:val="none" w:sz="0" w:space="0" w:color="auto"/>
          </w:divBdr>
        </w:div>
        <w:div w:id="321736747">
          <w:marLeft w:val="0"/>
          <w:marRight w:val="0"/>
          <w:marTop w:val="0"/>
          <w:marBottom w:val="0"/>
          <w:divBdr>
            <w:top w:val="none" w:sz="0" w:space="0" w:color="auto"/>
            <w:left w:val="none" w:sz="0" w:space="0" w:color="auto"/>
            <w:bottom w:val="none" w:sz="0" w:space="0" w:color="auto"/>
            <w:right w:val="none" w:sz="0" w:space="0" w:color="auto"/>
          </w:divBdr>
        </w:div>
        <w:div w:id="443505242">
          <w:marLeft w:val="0"/>
          <w:marRight w:val="0"/>
          <w:marTop w:val="0"/>
          <w:marBottom w:val="0"/>
          <w:divBdr>
            <w:top w:val="none" w:sz="0" w:space="0" w:color="auto"/>
            <w:left w:val="none" w:sz="0" w:space="0" w:color="auto"/>
            <w:bottom w:val="none" w:sz="0" w:space="0" w:color="auto"/>
            <w:right w:val="none" w:sz="0" w:space="0" w:color="auto"/>
          </w:divBdr>
        </w:div>
        <w:div w:id="605963550">
          <w:marLeft w:val="0"/>
          <w:marRight w:val="0"/>
          <w:marTop w:val="0"/>
          <w:marBottom w:val="0"/>
          <w:divBdr>
            <w:top w:val="none" w:sz="0" w:space="0" w:color="auto"/>
            <w:left w:val="none" w:sz="0" w:space="0" w:color="auto"/>
            <w:bottom w:val="none" w:sz="0" w:space="0" w:color="auto"/>
            <w:right w:val="none" w:sz="0" w:space="0" w:color="auto"/>
          </w:divBdr>
        </w:div>
        <w:div w:id="689767383">
          <w:marLeft w:val="0"/>
          <w:marRight w:val="0"/>
          <w:marTop w:val="0"/>
          <w:marBottom w:val="0"/>
          <w:divBdr>
            <w:top w:val="none" w:sz="0" w:space="0" w:color="auto"/>
            <w:left w:val="none" w:sz="0" w:space="0" w:color="auto"/>
            <w:bottom w:val="none" w:sz="0" w:space="0" w:color="auto"/>
            <w:right w:val="none" w:sz="0" w:space="0" w:color="auto"/>
          </w:divBdr>
        </w:div>
        <w:div w:id="788817648">
          <w:marLeft w:val="0"/>
          <w:marRight w:val="0"/>
          <w:marTop w:val="0"/>
          <w:marBottom w:val="0"/>
          <w:divBdr>
            <w:top w:val="none" w:sz="0" w:space="0" w:color="auto"/>
            <w:left w:val="none" w:sz="0" w:space="0" w:color="auto"/>
            <w:bottom w:val="none" w:sz="0" w:space="0" w:color="auto"/>
            <w:right w:val="none" w:sz="0" w:space="0" w:color="auto"/>
          </w:divBdr>
        </w:div>
        <w:div w:id="804548405">
          <w:marLeft w:val="0"/>
          <w:marRight w:val="0"/>
          <w:marTop w:val="0"/>
          <w:marBottom w:val="0"/>
          <w:divBdr>
            <w:top w:val="none" w:sz="0" w:space="0" w:color="auto"/>
            <w:left w:val="none" w:sz="0" w:space="0" w:color="auto"/>
            <w:bottom w:val="none" w:sz="0" w:space="0" w:color="auto"/>
            <w:right w:val="none" w:sz="0" w:space="0" w:color="auto"/>
          </w:divBdr>
        </w:div>
        <w:div w:id="847599051">
          <w:marLeft w:val="0"/>
          <w:marRight w:val="0"/>
          <w:marTop w:val="0"/>
          <w:marBottom w:val="0"/>
          <w:divBdr>
            <w:top w:val="none" w:sz="0" w:space="0" w:color="auto"/>
            <w:left w:val="none" w:sz="0" w:space="0" w:color="auto"/>
            <w:bottom w:val="none" w:sz="0" w:space="0" w:color="auto"/>
            <w:right w:val="none" w:sz="0" w:space="0" w:color="auto"/>
          </w:divBdr>
        </w:div>
        <w:div w:id="854853502">
          <w:marLeft w:val="0"/>
          <w:marRight w:val="0"/>
          <w:marTop w:val="0"/>
          <w:marBottom w:val="0"/>
          <w:divBdr>
            <w:top w:val="none" w:sz="0" w:space="0" w:color="auto"/>
            <w:left w:val="none" w:sz="0" w:space="0" w:color="auto"/>
            <w:bottom w:val="none" w:sz="0" w:space="0" w:color="auto"/>
            <w:right w:val="none" w:sz="0" w:space="0" w:color="auto"/>
          </w:divBdr>
        </w:div>
        <w:div w:id="935404534">
          <w:marLeft w:val="0"/>
          <w:marRight w:val="0"/>
          <w:marTop w:val="0"/>
          <w:marBottom w:val="0"/>
          <w:divBdr>
            <w:top w:val="none" w:sz="0" w:space="0" w:color="auto"/>
            <w:left w:val="none" w:sz="0" w:space="0" w:color="auto"/>
            <w:bottom w:val="none" w:sz="0" w:space="0" w:color="auto"/>
            <w:right w:val="none" w:sz="0" w:space="0" w:color="auto"/>
          </w:divBdr>
        </w:div>
        <w:div w:id="1063020233">
          <w:marLeft w:val="0"/>
          <w:marRight w:val="0"/>
          <w:marTop w:val="0"/>
          <w:marBottom w:val="0"/>
          <w:divBdr>
            <w:top w:val="none" w:sz="0" w:space="0" w:color="auto"/>
            <w:left w:val="none" w:sz="0" w:space="0" w:color="auto"/>
            <w:bottom w:val="none" w:sz="0" w:space="0" w:color="auto"/>
            <w:right w:val="none" w:sz="0" w:space="0" w:color="auto"/>
          </w:divBdr>
        </w:div>
        <w:div w:id="1172334603">
          <w:marLeft w:val="0"/>
          <w:marRight w:val="0"/>
          <w:marTop w:val="0"/>
          <w:marBottom w:val="0"/>
          <w:divBdr>
            <w:top w:val="none" w:sz="0" w:space="0" w:color="auto"/>
            <w:left w:val="none" w:sz="0" w:space="0" w:color="auto"/>
            <w:bottom w:val="none" w:sz="0" w:space="0" w:color="auto"/>
            <w:right w:val="none" w:sz="0" w:space="0" w:color="auto"/>
          </w:divBdr>
        </w:div>
        <w:div w:id="1219511391">
          <w:marLeft w:val="0"/>
          <w:marRight w:val="0"/>
          <w:marTop w:val="0"/>
          <w:marBottom w:val="0"/>
          <w:divBdr>
            <w:top w:val="none" w:sz="0" w:space="0" w:color="auto"/>
            <w:left w:val="none" w:sz="0" w:space="0" w:color="auto"/>
            <w:bottom w:val="none" w:sz="0" w:space="0" w:color="auto"/>
            <w:right w:val="none" w:sz="0" w:space="0" w:color="auto"/>
          </w:divBdr>
        </w:div>
        <w:div w:id="1463578352">
          <w:marLeft w:val="0"/>
          <w:marRight w:val="0"/>
          <w:marTop w:val="0"/>
          <w:marBottom w:val="0"/>
          <w:divBdr>
            <w:top w:val="none" w:sz="0" w:space="0" w:color="auto"/>
            <w:left w:val="none" w:sz="0" w:space="0" w:color="auto"/>
            <w:bottom w:val="none" w:sz="0" w:space="0" w:color="auto"/>
            <w:right w:val="none" w:sz="0" w:space="0" w:color="auto"/>
          </w:divBdr>
        </w:div>
        <w:div w:id="1533181125">
          <w:marLeft w:val="0"/>
          <w:marRight w:val="0"/>
          <w:marTop w:val="0"/>
          <w:marBottom w:val="0"/>
          <w:divBdr>
            <w:top w:val="none" w:sz="0" w:space="0" w:color="auto"/>
            <w:left w:val="none" w:sz="0" w:space="0" w:color="auto"/>
            <w:bottom w:val="none" w:sz="0" w:space="0" w:color="auto"/>
            <w:right w:val="none" w:sz="0" w:space="0" w:color="auto"/>
          </w:divBdr>
        </w:div>
        <w:div w:id="1534461891">
          <w:marLeft w:val="0"/>
          <w:marRight w:val="0"/>
          <w:marTop w:val="0"/>
          <w:marBottom w:val="0"/>
          <w:divBdr>
            <w:top w:val="none" w:sz="0" w:space="0" w:color="auto"/>
            <w:left w:val="none" w:sz="0" w:space="0" w:color="auto"/>
            <w:bottom w:val="none" w:sz="0" w:space="0" w:color="auto"/>
            <w:right w:val="none" w:sz="0" w:space="0" w:color="auto"/>
          </w:divBdr>
        </w:div>
        <w:div w:id="1590890545">
          <w:marLeft w:val="0"/>
          <w:marRight w:val="0"/>
          <w:marTop w:val="0"/>
          <w:marBottom w:val="0"/>
          <w:divBdr>
            <w:top w:val="none" w:sz="0" w:space="0" w:color="auto"/>
            <w:left w:val="none" w:sz="0" w:space="0" w:color="auto"/>
            <w:bottom w:val="none" w:sz="0" w:space="0" w:color="auto"/>
            <w:right w:val="none" w:sz="0" w:space="0" w:color="auto"/>
          </w:divBdr>
        </w:div>
        <w:div w:id="1663580102">
          <w:marLeft w:val="0"/>
          <w:marRight w:val="0"/>
          <w:marTop w:val="0"/>
          <w:marBottom w:val="0"/>
          <w:divBdr>
            <w:top w:val="none" w:sz="0" w:space="0" w:color="auto"/>
            <w:left w:val="none" w:sz="0" w:space="0" w:color="auto"/>
            <w:bottom w:val="none" w:sz="0" w:space="0" w:color="auto"/>
            <w:right w:val="none" w:sz="0" w:space="0" w:color="auto"/>
          </w:divBdr>
        </w:div>
        <w:div w:id="1710715957">
          <w:marLeft w:val="0"/>
          <w:marRight w:val="0"/>
          <w:marTop w:val="0"/>
          <w:marBottom w:val="0"/>
          <w:divBdr>
            <w:top w:val="none" w:sz="0" w:space="0" w:color="auto"/>
            <w:left w:val="none" w:sz="0" w:space="0" w:color="auto"/>
            <w:bottom w:val="none" w:sz="0" w:space="0" w:color="auto"/>
            <w:right w:val="none" w:sz="0" w:space="0" w:color="auto"/>
          </w:divBdr>
          <w:divsChild>
            <w:div w:id="127476740">
              <w:marLeft w:val="0"/>
              <w:marRight w:val="0"/>
              <w:marTop w:val="0"/>
              <w:marBottom w:val="0"/>
              <w:divBdr>
                <w:top w:val="none" w:sz="0" w:space="0" w:color="auto"/>
                <w:left w:val="none" w:sz="0" w:space="0" w:color="auto"/>
                <w:bottom w:val="none" w:sz="0" w:space="0" w:color="auto"/>
                <w:right w:val="none" w:sz="0" w:space="0" w:color="auto"/>
              </w:divBdr>
            </w:div>
            <w:div w:id="286861788">
              <w:marLeft w:val="0"/>
              <w:marRight w:val="0"/>
              <w:marTop w:val="0"/>
              <w:marBottom w:val="0"/>
              <w:divBdr>
                <w:top w:val="none" w:sz="0" w:space="0" w:color="auto"/>
                <w:left w:val="none" w:sz="0" w:space="0" w:color="auto"/>
                <w:bottom w:val="none" w:sz="0" w:space="0" w:color="auto"/>
                <w:right w:val="none" w:sz="0" w:space="0" w:color="auto"/>
              </w:divBdr>
            </w:div>
            <w:div w:id="1046031464">
              <w:marLeft w:val="0"/>
              <w:marRight w:val="0"/>
              <w:marTop w:val="0"/>
              <w:marBottom w:val="0"/>
              <w:divBdr>
                <w:top w:val="none" w:sz="0" w:space="0" w:color="auto"/>
                <w:left w:val="none" w:sz="0" w:space="0" w:color="auto"/>
                <w:bottom w:val="none" w:sz="0" w:space="0" w:color="auto"/>
                <w:right w:val="none" w:sz="0" w:space="0" w:color="auto"/>
              </w:divBdr>
            </w:div>
            <w:div w:id="1802454365">
              <w:marLeft w:val="0"/>
              <w:marRight w:val="0"/>
              <w:marTop w:val="0"/>
              <w:marBottom w:val="0"/>
              <w:divBdr>
                <w:top w:val="none" w:sz="0" w:space="0" w:color="auto"/>
                <w:left w:val="none" w:sz="0" w:space="0" w:color="auto"/>
                <w:bottom w:val="none" w:sz="0" w:space="0" w:color="auto"/>
                <w:right w:val="none" w:sz="0" w:space="0" w:color="auto"/>
              </w:divBdr>
            </w:div>
            <w:div w:id="1880429237">
              <w:marLeft w:val="0"/>
              <w:marRight w:val="0"/>
              <w:marTop w:val="0"/>
              <w:marBottom w:val="0"/>
              <w:divBdr>
                <w:top w:val="none" w:sz="0" w:space="0" w:color="auto"/>
                <w:left w:val="none" w:sz="0" w:space="0" w:color="auto"/>
                <w:bottom w:val="none" w:sz="0" w:space="0" w:color="auto"/>
                <w:right w:val="none" w:sz="0" w:space="0" w:color="auto"/>
              </w:divBdr>
            </w:div>
          </w:divsChild>
        </w:div>
        <w:div w:id="1730379002">
          <w:marLeft w:val="0"/>
          <w:marRight w:val="0"/>
          <w:marTop w:val="0"/>
          <w:marBottom w:val="0"/>
          <w:divBdr>
            <w:top w:val="none" w:sz="0" w:space="0" w:color="auto"/>
            <w:left w:val="none" w:sz="0" w:space="0" w:color="auto"/>
            <w:bottom w:val="none" w:sz="0" w:space="0" w:color="auto"/>
            <w:right w:val="none" w:sz="0" w:space="0" w:color="auto"/>
          </w:divBdr>
        </w:div>
        <w:div w:id="1742678873">
          <w:marLeft w:val="0"/>
          <w:marRight w:val="0"/>
          <w:marTop w:val="0"/>
          <w:marBottom w:val="0"/>
          <w:divBdr>
            <w:top w:val="none" w:sz="0" w:space="0" w:color="auto"/>
            <w:left w:val="none" w:sz="0" w:space="0" w:color="auto"/>
            <w:bottom w:val="none" w:sz="0" w:space="0" w:color="auto"/>
            <w:right w:val="none" w:sz="0" w:space="0" w:color="auto"/>
          </w:divBdr>
        </w:div>
        <w:div w:id="1956448982">
          <w:marLeft w:val="0"/>
          <w:marRight w:val="0"/>
          <w:marTop w:val="0"/>
          <w:marBottom w:val="0"/>
          <w:divBdr>
            <w:top w:val="none" w:sz="0" w:space="0" w:color="auto"/>
            <w:left w:val="none" w:sz="0" w:space="0" w:color="auto"/>
            <w:bottom w:val="none" w:sz="0" w:space="0" w:color="auto"/>
            <w:right w:val="none" w:sz="0" w:space="0" w:color="auto"/>
          </w:divBdr>
        </w:div>
        <w:div w:id="1987971078">
          <w:marLeft w:val="0"/>
          <w:marRight w:val="0"/>
          <w:marTop w:val="0"/>
          <w:marBottom w:val="0"/>
          <w:divBdr>
            <w:top w:val="none" w:sz="0" w:space="0" w:color="auto"/>
            <w:left w:val="none" w:sz="0" w:space="0" w:color="auto"/>
            <w:bottom w:val="none" w:sz="0" w:space="0" w:color="auto"/>
            <w:right w:val="none" w:sz="0" w:space="0" w:color="auto"/>
          </w:divBdr>
        </w:div>
        <w:div w:id="2123452828">
          <w:marLeft w:val="0"/>
          <w:marRight w:val="0"/>
          <w:marTop w:val="0"/>
          <w:marBottom w:val="0"/>
          <w:divBdr>
            <w:top w:val="none" w:sz="0" w:space="0" w:color="auto"/>
            <w:left w:val="none" w:sz="0" w:space="0" w:color="auto"/>
            <w:bottom w:val="none" w:sz="0" w:space="0" w:color="auto"/>
            <w:right w:val="none" w:sz="0" w:space="0" w:color="auto"/>
          </w:divBdr>
          <w:divsChild>
            <w:div w:id="112749218">
              <w:marLeft w:val="0"/>
              <w:marRight w:val="0"/>
              <w:marTop w:val="0"/>
              <w:marBottom w:val="0"/>
              <w:divBdr>
                <w:top w:val="none" w:sz="0" w:space="0" w:color="auto"/>
                <w:left w:val="none" w:sz="0" w:space="0" w:color="auto"/>
                <w:bottom w:val="none" w:sz="0" w:space="0" w:color="auto"/>
                <w:right w:val="none" w:sz="0" w:space="0" w:color="auto"/>
              </w:divBdr>
            </w:div>
            <w:div w:id="686098150">
              <w:marLeft w:val="0"/>
              <w:marRight w:val="0"/>
              <w:marTop w:val="0"/>
              <w:marBottom w:val="0"/>
              <w:divBdr>
                <w:top w:val="none" w:sz="0" w:space="0" w:color="auto"/>
                <w:left w:val="none" w:sz="0" w:space="0" w:color="auto"/>
                <w:bottom w:val="none" w:sz="0" w:space="0" w:color="auto"/>
                <w:right w:val="none" w:sz="0" w:space="0" w:color="auto"/>
              </w:divBdr>
            </w:div>
            <w:div w:id="1123620174">
              <w:marLeft w:val="0"/>
              <w:marRight w:val="0"/>
              <w:marTop w:val="0"/>
              <w:marBottom w:val="0"/>
              <w:divBdr>
                <w:top w:val="none" w:sz="0" w:space="0" w:color="auto"/>
                <w:left w:val="none" w:sz="0" w:space="0" w:color="auto"/>
                <w:bottom w:val="none" w:sz="0" w:space="0" w:color="auto"/>
                <w:right w:val="none" w:sz="0" w:space="0" w:color="auto"/>
              </w:divBdr>
            </w:div>
            <w:div w:id="1324356596">
              <w:marLeft w:val="0"/>
              <w:marRight w:val="0"/>
              <w:marTop w:val="0"/>
              <w:marBottom w:val="0"/>
              <w:divBdr>
                <w:top w:val="none" w:sz="0" w:space="0" w:color="auto"/>
                <w:left w:val="none" w:sz="0" w:space="0" w:color="auto"/>
                <w:bottom w:val="none" w:sz="0" w:space="0" w:color="auto"/>
                <w:right w:val="none" w:sz="0" w:space="0" w:color="auto"/>
              </w:divBdr>
            </w:div>
            <w:div w:id="14002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ees.ac.uk/studenthandboo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ees.ac.uk/sections/about/public_information/quality_framework.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es.ac.uk/studenthandboo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es.ac.uk/studen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BDE8DF32D6D4CAE50CD63E5662441" ma:contentTypeVersion="3" ma:contentTypeDescription="Create a new document." ma:contentTypeScope="" ma:versionID="01333c582aa6543b6cfc4bb08e546092">
  <xsd:schema xmlns:xsd="http://www.w3.org/2001/XMLSchema" xmlns:xs="http://www.w3.org/2001/XMLSchema" xmlns:p="http://schemas.microsoft.com/office/2006/metadata/properties" xmlns:ns2="725b2971-56d3-4ca6-94d2-cf3cf5a8d1c6" targetNamespace="http://schemas.microsoft.com/office/2006/metadata/properties" ma:root="true" ma:fieldsID="6354f15d3dbad9fda3a195e94cfce5cb" ns2:_="">
    <xsd:import namespace="725b2971-56d3-4ca6-94d2-cf3cf5a8d1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b2971-56d3-4ca6-94d2-cf3cf5a8d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184FF-95E8-4B56-843B-33590A5D7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b2971-56d3-4ca6-94d2-cf3cf5a8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8435B-26C1-494E-9C96-FDC6D49963F7}">
  <ds:schemaRefs>
    <ds:schemaRef ds:uri="http://schemas.microsoft.com/sharepoint/v3/contenttype/forms"/>
  </ds:schemaRefs>
</ds:datastoreItem>
</file>

<file path=customXml/itemProps3.xml><?xml version="1.0" encoding="utf-8"?>
<ds:datastoreItem xmlns:ds="http://schemas.openxmlformats.org/officeDocument/2006/customXml" ds:itemID="{78BE0A8E-A312-472A-90B1-D823E7DD87FB}">
  <ds:schemaRefs>
    <ds:schemaRef ds:uri="http://schemas.openxmlformats.org/officeDocument/2006/bibliography"/>
  </ds:schemaRefs>
</ds:datastoreItem>
</file>

<file path=customXml/itemProps4.xml><?xml version="1.0" encoding="utf-8"?>
<ds:datastoreItem xmlns:ds="http://schemas.openxmlformats.org/officeDocument/2006/customXml" ds:itemID="{93E62C72-C26E-4A0D-8A84-3022B422BE0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3d2115b-a55e-46b6-9df7-b03388ecfc60}" enabled="0" method="" siteId="{43d2115b-a55e-46b6-9df7-b03388ecfc6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8</Pages>
  <Words>1915</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13133</CharactersWithSpaces>
  <SharedDoc>false</SharedDoc>
  <HLinks>
    <vt:vector size="18" baseType="variant">
      <vt:variant>
        <vt:i4>6422581</vt:i4>
      </vt:variant>
      <vt:variant>
        <vt:i4>6</vt:i4>
      </vt:variant>
      <vt:variant>
        <vt:i4>0</vt:i4>
      </vt:variant>
      <vt:variant>
        <vt:i4>5</vt:i4>
      </vt:variant>
      <vt:variant>
        <vt:lpwstr>https://connect.tees.ac.uk/docs/publicdocumentslibraries/default-document-library/legal-and-governance-services/Student-protection-plan.pdf</vt:lpwstr>
      </vt:variant>
      <vt:variant>
        <vt:lpwstr/>
      </vt:variant>
      <vt:variant>
        <vt:i4>7077939</vt:i4>
      </vt:variant>
      <vt:variant>
        <vt:i4>3</vt:i4>
      </vt:variant>
      <vt:variant>
        <vt:i4>0</vt:i4>
      </vt:variant>
      <vt:variant>
        <vt:i4>5</vt:i4>
      </vt:variant>
      <vt:variant>
        <vt:lpwstr>https://www.tees.ac.uk/studenthandbook/</vt:lpwstr>
      </vt:variant>
      <vt:variant>
        <vt:lpwstr/>
      </vt:variant>
      <vt:variant>
        <vt:i4>6422581</vt:i4>
      </vt:variant>
      <vt:variant>
        <vt:i4>0</vt:i4>
      </vt:variant>
      <vt:variant>
        <vt:i4>0</vt:i4>
      </vt:variant>
      <vt:variant>
        <vt:i4>5</vt:i4>
      </vt:variant>
      <vt:variant>
        <vt:lpwstr>https://connect.tees.ac.uk/docs/publicdocumentslibraries/default-document-library/legal-and-governance-services/Student-protection-plan.pdf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Braine, Paul</dc:creator>
  <cp:keywords/>
  <dc:description/>
  <cp:lastModifiedBy>Turner, Janice</cp:lastModifiedBy>
  <cp:revision>7</cp:revision>
  <dcterms:created xsi:type="dcterms:W3CDTF">2024-02-01T10:00:00Z</dcterms:created>
  <dcterms:modified xsi:type="dcterms:W3CDTF">2024-02-02T16:15:00Z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7edccc0d-246d-4e3f-aebc-d79e2fdea1a5</vt:lpwstr>
  </property>
  <property fmtid="{D5CDD505-2E9C-101B-9397-08002B2CF9AE}" pid="3" name="ContentTypeId">
    <vt:lpwstr>0x0101002CABDE8DF32D6D4CAE50CD63E5662441</vt:lpwstr>
  </property>
</Properties>
</file>